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AD5163">
        <w:rPr>
          <w:rFonts w:ascii="Arial" w:eastAsia="宋体" w:hAnsi="Arial" w:cs="Arial"/>
          <w:b/>
          <w:sz w:val="24"/>
          <w:lang w:eastAsia="zh-CN"/>
        </w:rPr>
        <w:t>6</w:t>
      </w:r>
      <w:r w:rsidR="00707604">
        <w:rPr>
          <w:rFonts w:ascii="Arial" w:eastAsia="宋体"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w:t>
      </w:r>
      <w:r w:rsidR="0088094D">
        <w:rPr>
          <w:rFonts w:ascii="Arial" w:hAnsi="Arial"/>
          <w:b/>
          <w:sz w:val="24"/>
          <w:lang w:eastAsia="zh-CN"/>
        </w:rPr>
        <w:t>10786</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w:t>
      </w:r>
      <w:r w:rsidR="00AD5163">
        <w:rPr>
          <w:rFonts w:ascii="Arial" w:eastAsia="宋体" w:hAnsi="Arial"/>
          <w:b/>
          <w:sz w:val="24"/>
          <w:lang w:eastAsia="zh-CN"/>
        </w:rPr>
        <w:t>17</w:t>
      </w:r>
      <w:r w:rsidR="00AD5163" w:rsidRPr="00AD5163">
        <w:rPr>
          <w:rFonts w:ascii="Arial" w:eastAsia="宋体" w:hAnsi="Arial"/>
          <w:b/>
          <w:sz w:val="24"/>
          <w:vertAlign w:val="superscript"/>
          <w:lang w:eastAsia="zh-CN"/>
        </w:rPr>
        <w:t>th</w:t>
      </w:r>
      <w:r w:rsidR="00707604" w:rsidRPr="00707604">
        <w:rPr>
          <w:rFonts w:ascii="Arial" w:eastAsia="宋体" w:hAnsi="Arial"/>
          <w:b/>
          <w:sz w:val="24"/>
          <w:lang w:eastAsia="zh-CN"/>
        </w:rPr>
        <w:t xml:space="preserve"> - </w:t>
      </w:r>
      <w:r w:rsidR="00AD5163">
        <w:rPr>
          <w:rFonts w:ascii="Arial" w:eastAsia="宋体" w:hAnsi="Arial"/>
          <w:b/>
          <w:sz w:val="24"/>
          <w:lang w:eastAsia="zh-CN"/>
        </w:rPr>
        <w:t>28</w:t>
      </w:r>
      <w:r w:rsidR="00707604" w:rsidRPr="00AD5163">
        <w:rPr>
          <w:rFonts w:ascii="Arial" w:eastAsia="宋体" w:hAnsi="Arial"/>
          <w:b/>
          <w:sz w:val="24"/>
          <w:vertAlign w:val="superscript"/>
          <w:lang w:eastAsia="zh-CN"/>
        </w:rPr>
        <w:t>th</w:t>
      </w:r>
      <w:r w:rsidR="00707604" w:rsidRPr="00707604">
        <w:rPr>
          <w:rFonts w:ascii="Arial" w:eastAsia="宋体" w:hAnsi="Arial"/>
          <w:b/>
          <w:sz w:val="24"/>
          <w:lang w:eastAsia="zh-CN"/>
        </w:rPr>
        <w:t xml:space="preserve"> </w:t>
      </w:r>
      <w:r w:rsidR="00AD5163">
        <w:rPr>
          <w:rFonts w:ascii="Arial" w:eastAsia="宋体" w:hAnsi="Arial"/>
          <w:b/>
          <w:sz w:val="24"/>
          <w:lang w:eastAsia="zh-CN"/>
        </w:rPr>
        <w:t>August</w:t>
      </w:r>
      <w:r w:rsidR="00A95604">
        <w:rPr>
          <w:rFonts w:ascii="Arial" w:eastAsia="宋体" w:hAnsi="Arial"/>
          <w:b/>
          <w:sz w:val="24"/>
          <w:lang w:eastAsia="zh-CN"/>
        </w:rPr>
        <w:t>,</w:t>
      </w:r>
      <w:r w:rsidR="00707604" w:rsidRPr="00707604">
        <w:rPr>
          <w:rFonts w:ascii="Arial" w:eastAsia="宋体" w:hAnsi="Arial"/>
          <w:b/>
          <w:sz w:val="24"/>
          <w:lang w:eastAsia="zh-CN"/>
        </w:rPr>
        <w:t xml:space="preserve">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E366A6" w:rsidRPr="00E366A6">
        <w:rPr>
          <w:rFonts w:eastAsia="宋体"/>
          <w:sz w:val="24"/>
          <w:lang w:val="en-US" w:eastAsia="zh-CN"/>
        </w:rPr>
        <w:t>Further discussion on NR HST BS demodulation performance</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2446EF">
        <w:rPr>
          <w:rFonts w:eastAsia="宋体"/>
          <w:sz w:val="24"/>
          <w:lang w:val="en-US" w:eastAsia="zh-CN"/>
        </w:rPr>
        <w:t>7.15.3.2</w:t>
      </w:r>
      <w:bookmarkStart w:id="0" w:name="_GoBack"/>
      <w:bookmarkEnd w:id="0"/>
    </w:p>
    <w:p w:rsidR="00226A6A" w:rsidRPr="00722CE4" w:rsidRDefault="00226A6A" w:rsidP="00226A6A">
      <w:pPr>
        <w:pStyle w:val="Header"/>
        <w:tabs>
          <w:tab w:val="left" w:pos="1800"/>
        </w:tabs>
        <w:snapToGrid w:val="0"/>
        <w:spacing w:after="240"/>
        <w:jc w:val="both"/>
        <w:rPr>
          <w:rFonts w:eastAsia="宋体"/>
          <w:sz w:val="24"/>
          <w:lang w:val="en-US" w:eastAsia="zh-CN"/>
        </w:rPr>
      </w:pPr>
      <w:r w:rsidRPr="00E94627">
        <w:rPr>
          <w:sz w:val="24"/>
        </w:rPr>
        <w:t>Document for:</w:t>
      </w:r>
      <w:r w:rsidRPr="00E94627">
        <w:rPr>
          <w:sz w:val="24"/>
        </w:rPr>
        <w:tab/>
      </w:r>
      <w:r w:rsidR="00FF18B3">
        <w:rPr>
          <w:rFonts w:eastAsia="宋体"/>
          <w:sz w:val="24"/>
          <w:lang w:val="en-US" w:eastAsia="zh-CN"/>
        </w:rPr>
        <w:t>Dis</w:t>
      </w:r>
      <w:r w:rsidR="00722CE4">
        <w:rPr>
          <w:rFonts w:eastAsia="宋体"/>
          <w:sz w:val="24"/>
          <w:lang w:val="en-US" w:eastAsia="zh-CN"/>
        </w:rPr>
        <w:t>c</w:t>
      </w:r>
      <w:r w:rsidR="00FF18B3">
        <w:rPr>
          <w:rFonts w:eastAsia="宋体"/>
          <w:sz w:val="24"/>
          <w:lang w:val="en-US" w:eastAsia="zh-CN"/>
        </w:rPr>
        <w:t>u</w:t>
      </w:r>
      <w:r w:rsidR="00722CE4">
        <w:rPr>
          <w:rFonts w:eastAsia="宋体"/>
          <w:sz w:val="24"/>
          <w:lang w:val="en-US" w:eastAsia="zh-CN"/>
        </w:rPr>
        <w:t>ssion</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440FF" w:rsidRDefault="00E2630C"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t>In RAN4#95-e, a WF on NR HST BS demodulation performance requirements has been agreed, with the following open issues listed:</w:t>
      </w:r>
      <w:r w:rsidR="003845B4">
        <w:rPr>
          <w:rFonts w:eastAsia="宋体"/>
          <w:sz w:val="21"/>
          <w:szCs w:val="21"/>
          <w:lang w:val="en-US" w:eastAsia="zh-CN"/>
        </w:rPr>
        <w:t xml:space="preserve"> </w:t>
      </w:r>
    </w:p>
    <w:p w:rsidR="00670B13" w:rsidRDefault="00670B13" w:rsidP="006F7C9D">
      <w:pPr>
        <w:pStyle w:val="BodyText"/>
        <w:tabs>
          <w:tab w:val="num" w:pos="226"/>
          <w:tab w:val="num" w:pos="284"/>
          <w:tab w:val="left" w:pos="5103"/>
        </w:tabs>
        <w:snapToGrid w:val="0"/>
        <w:spacing w:beforeLines="50" w:before="156"/>
        <w:rPr>
          <w:rFonts w:eastAsia="宋体"/>
          <w:sz w:val="21"/>
          <w:szCs w:val="21"/>
          <w:lang w:val="en-US" w:eastAsia="zh-CN"/>
        </w:rPr>
      </w:pPr>
    </w:p>
    <w:tbl>
      <w:tblPr>
        <w:tblStyle w:val="TableGrid"/>
        <w:tblW w:w="0" w:type="auto"/>
        <w:tblLook w:val="04A0" w:firstRow="1" w:lastRow="0" w:firstColumn="1" w:lastColumn="0" w:noHBand="0" w:noVBand="1"/>
      </w:tblPr>
      <w:tblGrid>
        <w:gridCol w:w="9288"/>
      </w:tblGrid>
      <w:tr w:rsidR="00517A56" w:rsidRPr="00544C9F" w:rsidTr="00517A56">
        <w:tc>
          <w:tcPr>
            <w:tcW w:w="9288" w:type="dxa"/>
          </w:tcPr>
          <w:p w:rsidR="0035522B" w:rsidRPr="00544C9F" w:rsidRDefault="0035522B" w:rsidP="0035522B">
            <w:pPr>
              <w:pStyle w:val="ListParagraph"/>
              <w:numPr>
                <w:ilvl w:val="0"/>
                <w:numId w:val="30"/>
              </w:numPr>
              <w:overflowPunct w:val="0"/>
              <w:autoSpaceDE w:val="0"/>
              <w:autoSpaceDN w:val="0"/>
              <w:adjustRightInd w:val="0"/>
              <w:ind w:firstLineChars="0"/>
              <w:textAlignment w:val="baseline"/>
              <w:rPr>
                <w:i/>
                <w:szCs w:val="21"/>
              </w:rPr>
            </w:pPr>
            <w:r w:rsidRPr="00544C9F">
              <w:rPr>
                <w:i/>
                <w:szCs w:val="21"/>
              </w:rPr>
              <w:t>1T1R requirements for the tunnel scenario - MCS configuration</w:t>
            </w:r>
          </w:p>
          <w:p w:rsidR="0035522B" w:rsidRPr="00544C9F" w:rsidRDefault="0035522B" w:rsidP="0035522B">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1: Only have MCS 2 requirements.</w:t>
            </w:r>
          </w:p>
          <w:p w:rsidR="0035522B" w:rsidRPr="00544C9F" w:rsidRDefault="0035522B" w:rsidP="0035522B">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2: Have MCS 2 and MCS16 requirements.</w:t>
            </w:r>
          </w:p>
          <w:p w:rsidR="00517A56" w:rsidRPr="00544C9F" w:rsidRDefault="0035522B" w:rsidP="0035522B">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3: Define HST Tunnel with only MCS 2 and HST multi-path fading with MCS 16</w:t>
            </w:r>
          </w:p>
          <w:p w:rsidR="0035522B" w:rsidRPr="0035522B" w:rsidRDefault="0035522B" w:rsidP="0035522B">
            <w:pPr>
              <w:pStyle w:val="ListParagraph"/>
              <w:numPr>
                <w:ilvl w:val="0"/>
                <w:numId w:val="30"/>
              </w:numPr>
              <w:overflowPunct w:val="0"/>
              <w:autoSpaceDE w:val="0"/>
              <w:autoSpaceDN w:val="0"/>
              <w:adjustRightInd w:val="0"/>
              <w:ind w:firstLineChars="0"/>
              <w:textAlignment w:val="baseline"/>
              <w:rPr>
                <w:i/>
                <w:szCs w:val="21"/>
              </w:rPr>
            </w:pPr>
            <w:r w:rsidRPr="0035522B">
              <w:rPr>
                <w:i/>
                <w:szCs w:val="21"/>
              </w:rPr>
              <w:t>Specification of multi-path fading channel under high Doppler</w:t>
            </w:r>
          </w:p>
          <w:p w:rsidR="0035522B" w:rsidRPr="0035522B" w:rsidRDefault="0035522B" w:rsidP="0035522B">
            <w:pPr>
              <w:pStyle w:val="ListParagraph"/>
              <w:numPr>
                <w:ilvl w:val="1"/>
                <w:numId w:val="30"/>
              </w:numPr>
              <w:overflowPunct w:val="0"/>
              <w:autoSpaceDE w:val="0"/>
              <w:autoSpaceDN w:val="0"/>
              <w:adjustRightInd w:val="0"/>
              <w:ind w:firstLineChars="0"/>
              <w:textAlignment w:val="baseline"/>
              <w:rPr>
                <w:i/>
                <w:szCs w:val="21"/>
              </w:rPr>
            </w:pPr>
            <w:r w:rsidRPr="0035522B">
              <w:rPr>
                <w:i/>
                <w:szCs w:val="21"/>
              </w:rPr>
              <w:t>Option 1: Do not specify requirements for multi-path fading channel models with high Doppler values.</w:t>
            </w:r>
          </w:p>
          <w:p w:rsidR="0035522B" w:rsidRPr="0035522B" w:rsidRDefault="0035522B" w:rsidP="0035522B">
            <w:pPr>
              <w:pStyle w:val="ListParagraph"/>
              <w:numPr>
                <w:ilvl w:val="1"/>
                <w:numId w:val="30"/>
              </w:numPr>
              <w:overflowPunct w:val="0"/>
              <w:autoSpaceDE w:val="0"/>
              <w:autoSpaceDN w:val="0"/>
              <w:adjustRightInd w:val="0"/>
              <w:ind w:firstLineChars="0"/>
              <w:textAlignment w:val="baseline"/>
              <w:rPr>
                <w:i/>
                <w:szCs w:val="21"/>
              </w:rPr>
            </w:pPr>
            <w:r w:rsidRPr="0035522B">
              <w:rPr>
                <w:i/>
                <w:szCs w:val="21"/>
              </w:rPr>
              <w:t xml:space="preserve">Option 2: Specify PUSCH requirements for multi-path fading channel with maximum </w:t>
            </w:r>
            <w:proofErr w:type="spellStart"/>
            <w:proofErr w:type="gramStart"/>
            <w:r w:rsidRPr="0035522B">
              <w:rPr>
                <w:i/>
                <w:szCs w:val="21"/>
              </w:rPr>
              <w:t>doppler</w:t>
            </w:r>
            <w:proofErr w:type="spellEnd"/>
            <w:proofErr w:type="gramEnd"/>
            <w:r w:rsidRPr="0035522B">
              <w:rPr>
                <w:i/>
                <w:szCs w:val="21"/>
              </w:rPr>
              <w:t xml:space="preserve"> shift of 600Hz and 1200Hz for 15kHz SCS and 30kHz SCS, respectively.</w:t>
            </w:r>
          </w:p>
          <w:p w:rsidR="0035522B" w:rsidRPr="0035522B" w:rsidRDefault="0035522B" w:rsidP="0035522B">
            <w:pPr>
              <w:pStyle w:val="ListParagraph"/>
              <w:numPr>
                <w:ilvl w:val="1"/>
                <w:numId w:val="30"/>
              </w:numPr>
              <w:overflowPunct w:val="0"/>
              <w:autoSpaceDE w:val="0"/>
              <w:autoSpaceDN w:val="0"/>
              <w:adjustRightInd w:val="0"/>
              <w:ind w:firstLineChars="0"/>
              <w:textAlignment w:val="baseline"/>
              <w:rPr>
                <w:i/>
                <w:szCs w:val="21"/>
              </w:rPr>
            </w:pPr>
            <w:r w:rsidRPr="0035522B">
              <w:rPr>
                <w:i/>
                <w:szCs w:val="21"/>
              </w:rPr>
              <w:t>Option 4: Define HST Tunnel with MCS 2 and HST multi-path fading with MCS 16.</w:t>
            </w:r>
          </w:p>
          <w:p w:rsidR="0035522B" w:rsidRPr="0035522B" w:rsidRDefault="0035522B" w:rsidP="0035522B">
            <w:pPr>
              <w:pStyle w:val="ListParagraph"/>
              <w:numPr>
                <w:ilvl w:val="1"/>
                <w:numId w:val="30"/>
              </w:numPr>
              <w:overflowPunct w:val="0"/>
              <w:autoSpaceDE w:val="0"/>
              <w:autoSpaceDN w:val="0"/>
              <w:adjustRightInd w:val="0"/>
              <w:ind w:firstLineChars="0"/>
              <w:textAlignment w:val="baseline"/>
              <w:rPr>
                <w:i/>
                <w:szCs w:val="21"/>
              </w:rPr>
            </w:pPr>
            <w:r w:rsidRPr="0035522B">
              <w:rPr>
                <w:i/>
                <w:szCs w:val="21"/>
              </w:rPr>
              <w:t>Option 5: Define HST multi-path fading with MCS 16 for open space scenario only.</w:t>
            </w:r>
          </w:p>
          <w:p w:rsidR="0084404B" w:rsidRPr="0084404B" w:rsidRDefault="0084404B" w:rsidP="0084404B">
            <w:pPr>
              <w:pStyle w:val="ListParagraph"/>
              <w:numPr>
                <w:ilvl w:val="0"/>
                <w:numId w:val="30"/>
              </w:numPr>
              <w:overflowPunct w:val="0"/>
              <w:autoSpaceDE w:val="0"/>
              <w:autoSpaceDN w:val="0"/>
              <w:adjustRightInd w:val="0"/>
              <w:ind w:firstLineChars="0"/>
              <w:textAlignment w:val="baseline"/>
              <w:rPr>
                <w:i/>
                <w:szCs w:val="21"/>
              </w:rPr>
            </w:pPr>
            <w:r w:rsidRPr="0084404B">
              <w:rPr>
                <w:i/>
                <w:szCs w:val="21"/>
              </w:rPr>
              <w:t>TDLC300-100 propagation conditions for long preamble formats</w:t>
            </w:r>
          </w:p>
          <w:p w:rsidR="0084404B" w:rsidRPr="0084404B" w:rsidRDefault="0084404B" w:rsidP="0084404B">
            <w:pPr>
              <w:pStyle w:val="ListParagraph"/>
              <w:numPr>
                <w:ilvl w:val="1"/>
                <w:numId w:val="30"/>
              </w:numPr>
              <w:overflowPunct w:val="0"/>
              <w:autoSpaceDE w:val="0"/>
              <w:autoSpaceDN w:val="0"/>
              <w:adjustRightInd w:val="0"/>
              <w:ind w:firstLineChars="0"/>
              <w:textAlignment w:val="baseline"/>
              <w:rPr>
                <w:i/>
                <w:szCs w:val="21"/>
              </w:rPr>
            </w:pPr>
            <w:r w:rsidRPr="0084404B">
              <w:rPr>
                <w:i/>
                <w:szCs w:val="21"/>
              </w:rPr>
              <w:t>Option 2: Do not to introduce TDLC300-100 fading channel with frequency offset of 400Hz requirements for long preamble formats for HST requirements.</w:t>
            </w:r>
          </w:p>
          <w:p w:rsidR="0084404B" w:rsidRPr="0084404B" w:rsidRDefault="0084404B" w:rsidP="0084404B">
            <w:pPr>
              <w:pStyle w:val="ListParagraph"/>
              <w:numPr>
                <w:ilvl w:val="1"/>
                <w:numId w:val="30"/>
              </w:numPr>
              <w:overflowPunct w:val="0"/>
              <w:autoSpaceDE w:val="0"/>
              <w:autoSpaceDN w:val="0"/>
              <w:adjustRightInd w:val="0"/>
              <w:ind w:firstLineChars="0"/>
              <w:textAlignment w:val="baseline"/>
              <w:rPr>
                <w:i/>
                <w:szCs w:val="21"/>
              </w:rPr>
            </w:pPr>
            <w:r w:rsidRPr="0084404B">
              <w:rPr>
                <w:i/>
                <w:szCs w:val="21"/>
              </w:rPr>
              <w:t>Option 3: Introduce TDLC300-100 for PRACH restricted set type A and B.</w:t>
            </w:r>
          </w:p>
          <w:p w:rsidR="0084404B" w:rsidRPr="0084404B" w:rsidRDefault="0084404B" w:rsidP="0084404B">
            <w:pPr>
              <w:pStyle w:val="ListParagraph"/>
              <w:numPr>
                <w:ilvl w:val="1"/>
                <w:numId w:val="30"/>
              </w:numPr>
              <w:overflowPunct w:val="0"/>
              <w:autoSpaceDE w:val="0"/>
              <w:autoSpaceDN w:val="0"/>
              <w:adjustRightInd w:val="0"/>
              <w:ind w:firstLineChars="0"/>
              <w:textAlignment w:val="baseline"/>
              <w:rPr>
                <w:i/>
                <w:szCs w:val="21"/>
              </w:rPr>
            </w:pPr>
            <w:r w:rsidRPr="0084404B">
              <w:rPr>
                <w:i/>
                <w:szCs w:val="21"/>
              </w:rPr>
              <w:t>Option 4: Introduce TDLC300-100 fading channel with frequency offset of 400Hz requirements for long preamble 0 restricted set type A and B in non-HST sections.</w:t>
            </w:r>
          </w:p>
          <w:p w:rsidR="004E2285" w:rsidRPr="00544C9F" w:rsidRDefault="004E2285" w:rsidP="004E2285">
            <w:pPr>
              <w:pStyle w:val="ListParagraph"/>
              <w:numPr>
                <w:ilvl w:val="0"/>
                <w:numId w:val="30"/>
              </w:numPr>
              <w:overflowPunct w:val="0"/>
              <w:autoSpaceDE w:val="0"/>
              <w:autoSpaceDN w:val="0"/>
              <w:adjustRightInd w:val="0"/>
              <w:ind w:firstLineChars="0"/>
              <w:textAlignment w:val="baseline"/>
              <w:rPr>
                <w:i/>
                <w:szCs w:val="21"/>
              </w:rPr>
            </w:pPr>
            <w:r w:rsidRPr="00544C9F">
              <w:rPr>
                <w:i/>
                <w:szCs w:val="21"/>
              </w:rPr>
              <w:t>PRACH high speed support declaration for HST</w:t>
            </w:r>
          </w:p>
          <w:p w:rsidR="004E2285" w:rsidRPr="00544C9F" w:rsidRDefault="004E2285" w:rsidP="004E2285">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1c: One declaration table entry for short and long format.</w:t>
            </w:r>
          </w:p>
          <w:p w:rsidR="004E2285" w:rsidRPr="00544C9F" w:rsidRDefault="004E2285" w:rsidP="004E2285">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2: Include the two new manufacturer declarations “PRACH high speed train long format support” and “PRACH high speed train short format support”,</w:t>
            </w:r>
          </w:p>
          <w:p w:rsidR="004E2285" w:rsidRPr="00544C9F" w:rsidRDefault="004E2285" w:rsidP="004E2285">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4: One declaration table entry for short and long format, no HST support</w:t>
            </w:r>
          </w:p>
          <w:p w:rsidR="000360EB" w:rsidRPr="000360EB" w:rsidRDefault="000360EB" w:rsidP="000360EB">
            <w:pPr>
              <w:pStyle w:val="ListParagraph"/>
              <w:numPr>
                <w:ilvl w:val="0"/>
                <w:numId w:val="30"/>
              </w:numPr>
              <w:overflowPunct w:val="0"/>
              <w:autoSpaceDE w:val="0"/>
              <w:autoSpaceDN w:val="0"/>
              <w:adjustRightInd w:val="0"/>
              <w:ind w:firstLineChars="0"/>
              <w:textAlignment w:val="baseline"/>
              <w:rPr>
                <w:i/>
                <w:szCs w:val="21"/>
              </w:rPr>
            </w:pPr>
            <w:r w:rsidRPr="000360EB">
              <w:rPr>
                <w:i/>
                <w:szCs w:val="21"/>
              </w:rPr>
              <w:t>Additional scenario “X”</w:t>
            </w:r>
            <w:r w:rsidRPr="00544C9F">
              <w:rPr>
                <w:i/>
                <w:szCs w:val="21"/>
              </w:rPr>
              <w:t xml:space="preserve"> for UL TA</w:t>
            </w:r>
          </w:p>
          <w:p w:rsidR="000360EB" w:rsidRPr="000360EB" w:rsidRDefault="000360EB" w:rsidP="000360EB">
            <w:pPr>
              <w:pStyle w:val="ListParagraph"/>
              <w:numPr>
                <w:ilvl w:val="1"/>
                <w:numId w:val="30"/>
              </w:numPr>
              <w:overflowPunct w:val="0"/>
              <w:autoSpaceDE w:val="0"/>
              <w:autoSpaceDN w:val="0"/>
              <w:adjustRightInd w:val="0"/>
              <w:ind w:firstLineChars="0"/>
              <w:textAlignment w:val="baseline"/>
              <w:rPr>
                <w:i/>
                <w:szCs w:val="21"/>
              </w:rPr>
            </w:pPr>
            <w:r w:rsidRPr="000360EB">
              <w:rPr>
                <w:i/>
                <w:szCs w:val="21"/>
              </w:rPr>
              <w:t>Option 1: Specify requirements for scenario X.</w:t>
            </w:r>
          </w:p>
          <w:p w:rsidR="0035522B" w:rsidRPr="00544C9F" w:rsidRDefault="000360EB" w:rsidP="000360EB">
            <w:pPr>
              <w:pStyle w:val="ListParagraph"/>
              <w:numPr>
                <w:ilvl w:val="1"/>
                <w:numId w:val="30"/>
              </w:numPr>
              <w:overflowPunct w:val="0"/>
              <w:autoSpaceDE w:val="0"/>
              <w:autoSpaceDN w:val="0"/>
              <w:adjustRightInd w:val="0"/>
              <w:ind w:firstLineChars="0"/>
              <w:textAlignment w:val="baseline"/>
              <w:rPr>
                <w:i/>
                <w:szCs w:val="21"/>
              </w:rPr>
            </w:pPr>
            <w:r w:rsidRPr="00544C9F">
              <w:rPr>
                <w:rFonts w:ascii="Times New Roman" w:eastAsia="Times New Roman" w:hAnsi="Times New Roman"/>
                <w:i/>
                <w:kern w:val="0"/>
                <w:sz w:val="20"/>
                <w:szCs w:val="21"/>
                <w:lang w:eastAsia="en-US"/>
              </w:rPr>
              <w:t>Option 2: Do not specify scenario “X”.</w:t>
            </w:r>
          </w:p>
          <w:p w:rsidR="00510127" w:rsidRPr="00510127" w:rsidRDefault="00510127" w:rsidP="00510127">
            <w:pPr>
              <w:pStyle w:val="ListParagraph"/>
              <w:numPr>
                <w:ilvl w:val="0"/>
                <w:numId w:val="30"/>
              </w:numPr>
              <w:overflowPunct w:val="0"/>
              <w:autoSpaceDE w:val="0"/>
              <w:autoSpaceDN w:val="0"/>
              <w:adjustRightInd w:val="0"/>
              <w:ind w:firstLineChars="0"/>
              <w:textAlignment w:val="baseline"/>
              <w:rPr>
                <w:i/>
                <w:szCs w:val="21"/>
              </w:rPr>
            </w:pPr>
            <w:r w:rsidRPr="00510127">
              <w:rPr>
                <w:i/>
                <w:szCs w:val="21"/>
              </w:rPr>
              <w:t>Organization of HST requirements for UL TA 500kph in specifications</w:t>
            </w:r>
          </w:p>
          <w:p w:rsidR="00510127" w:rsidRPr="00510127" w:rsidRDefault="00510127" w:rsidP="00510127">
            <w:pPr>
              <w:pStyle w:val="ListParagraph"/>
              <w:numPr>
                <w:ilvl w:val="1"/>
                <w:numId w:val="30"/>
              </w:numPr>
              <w:overflowPunct w:val="0"/>
              <w:autoSpaceDE w:val="0"/>
              <w:autoSpaceDN w:val="0"/>
              <w:adjustRightInd w:val="0"/>
              <w:ind w:firstLineChars="0"/>
              <w:textAlignment w:val="baseline"/>
              <w:rPr>
                <w:i/>
                <w:szCs w:val="21"/>
              </w:rPr>
            </w:pPr>
            <w:r w:rsidRPr="00510127">
              <w:rPr>
                <w:i/>
                <w:szCs w:val="21"/>
              </w:rPr>
              <w:t>Option 1: Requirements for different scenarios captured in same table.</w:t>
            </w:r>
          </w:p>
          <w:p w:rsidR="00510127" w:rsidRPr="00510127" w:rsidRDefault="00510127" w:rsidP="00510127">
            <w:pPr>
              <w:pStyle w:val="ListParagraph"/>
              <w:numPr>
                <w:ilvl w:val="1"/>
                <w:numId w:val="30"/>
              </w:numPr>
              <w:overflowPunct w:val="0"/>
              <w:autoSpaceDE w:val="0"/>
              <w:autoSpaceDN w:val="0"/>
              <w:adjustRightInd w:val="0"/>
              <w:ind w:firstLineChars="0"/>
              <w:textAlignment w:val="baseline"/>
              <w:rPr>
                <w:i/>
                <w:szCs w:val="21"/>
              </w:rPr>
            </w:pPr>
            <w:r w:rsidRPr="00510127">
              <w:rPr>
                <w:i/>
                <w:szCs w:val="21"/>
              </w:rPr>
              <w:t>Option 2: Requirements for different scenarios captured in separate tables.</w:t>
            </w:r>
          </w:p>
          <w:p w:rsidR="0084404B" w:rsidRPr="00544C9F" w:rsidRDefault="00510127" w:rsidP="00510127">
            <w:pPr>
              <w:pStyle w:val="ListParagraph"/>
              <w:numPr>
                <w:ilvl w:val="1"/>
                <w:numId w:val="30"/>
              </w:numPr>
              <w:overflowPunct w:val="0"/>
              <w:autoSpaceDE w:val="0"/>
              <w:autoSpaceDN w:val="0"/>
              <w:adjustRightInd w:val="0"/>
              <w:ind w:firstLineChars="0"/>
              <w:textAlignment w:val="baseline"/>
              <w:rPr>
                <w:i/>
                <w:szCs w:val="21"/>
              </w:rPr>
            </w:pPr>
            <w:r w:rsidRPr="00544C9F">
              <w:rPr>
                <w:rFonts w:ascii="Times New Roman" w:eastAsia="Times New Roman" w:hAnsi="Times New Roman"/>
                <w:i/>
                <w:kern w:val="0"/>
                <w:sz w:val="20"/>
                <w:szCs w:val="21"/>
                <w:lang w:eastAsia="en-US"/>
              </w:rPr>
              <w:t>Option 3: Capture the 500kph UL TA scenario in the same table as the 350kph UL TA scenario.</w:t>
            </w:r>
          </w:p>
        </w:tc>
      </w:tr>
    </w:tbl>
    <w:p w:rsidR="0019214A" w:rsidRPr="0019214A" w:rsidRDefault="00544C9F" w:rsidP="006F7C9D">
      <w:pPr>
        <w:pStyle w:val="BodyText"/>
        <w:tabs>
          <w:tab w:val="num" w:pos="226"/>
          <w:tab w:val="num" w:pos="284"/>
          <w:tab w:val="left" w:pos="5103"/>
        </w:tabs>
        <w:snapToGrid w:val="0"/>
        <w:spacing w:beforeLines="50" w:before="156"/>
        <w:rPr>
          <w:rFonts w:eastAsia="宋体"/>
          <w:sz w:val="21"/>
          <w:szCs w:val="21"/>
          <w:lang w:val="en-US" w:eastAsia="zh-CN"/>
        </w:rPr>
      </w:pPr>
      <w:r>
        <w:rPr>
          <w:rFonts w:eastAsia="宋体"/>
          <w:sz w:val="21"/>
          <w:szCs w:val="21"/>
          <w:lang w:val="en-US" w:eastAsia="zh-CN"/>
        </w:rPr>
        <w:lastRenderedPageBreak/>
        <w:t>In this contribution, we further discuss these open issues and propose the options based on our understandings and views.</w:t>
      </w: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EB51FD" w:rsidRDefault="00305320" w:rsidP="009B2891">
      <w:pPr>
        <w:pStyle w:val="BodyText"/>
        <w:tabs>
          <w:tab w:val="num" w:pos="226"/>
          <w:tab w:val="num" w:pos="284"/>
          <w:tab w:val="left" w:pos="5103"/>
        </w:tabs>
        <w:snapToGrid w:val="0"/>
        <w:rPr>
          <w:rFonts w:eastAsia="宋体"/>
          <w:b/>
          <w:bCs/>
          <w:sz w:val="21"/>
          <w:szCs w:val="21"/>
          <w:u w:val="single"/>
          <w:lang w:val="en-GB" w:eastAsia="zh-CN"/>
        </w:rPr>
      </w:pPr>
      <w:r w:rsidRPr="00305320">
        <w:rPr>
          <w:rFonts w:eastAsia="宋体"/>
          <w:b/>
          <w:bCs/>
          <w:sz w:val="21"/>
          <w:szCs w:val="21"/>
          <w:u w:val="single"/>
          <w:lang w:val="en-GB" w:eastAsia="zh-CN"/>
        </w:rPr>
        <w:t>1T1R requirements for the tunnel scenario - MCS configuration</w:t>
      </w:r>
    </w:p>
    <w:p w:rsidR="005B0657" w:rsidRPr="00544C9F" w:rsidRDefault="005B0657" w:rsidP="005B0657">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1: Only have MCS 2 requirements.</w:t>
      </w:r>
    </w:p>
    <w:p w:rsidR="005B0657" w:rsidRPr="00544C9F" w:rsidRDefault="005B0657" w:rsidP="005B0657">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2: Have MCS 2 and MCS16 requirements.</w:t>
      </w:r>
    </w:p>
    <w:p w:rsidR="005B0657" w:rsidRPr="00544C9F" w:rsidRDefault="005B0657" w:rsidP="005B0657">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3: Define HST Tunnel with only MCS 2 and HST multi-path fading with MCS 16</w:t>
      </w:r>
    </w:p>
    <w:p w:rsidR="005B0657" w:rsidRPr="005B0657" w:rsidRDefault="005B0657" w:rsidP="009B2891">
      <w:pPr>
        <w:pStyle w:val="BodyText"/>
        <w:tabs>
          <w:tab w:val="num" w:pos="226"/>
          <w:tab w:val="num" w:pos="284"/>
          <w:tab w:val="left" w:pos="5103"/>
        </w:tabs>
        <w:snapToGrid w:val="0"/>
        <w:rPr>
          <w:rFonts w:eastAsia="宋体"/>
          <w:b/>
          <w:bCs/>
          <w:sz w:val="21"/>
          <w:szCs w:val="21"/>
          <w:u w:val="single"/>
          <w:lang w:val="en-US" w:eastAsia="zh-CN"/>
        </w:rPr>
      </w:pPr>
    </w:p>
    <w:p w:rsidR="00305320" w:rsidRDefault="00305320"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For 1T1R antenna configuration, it is natural that a low data rate is expected. MCS #2 with 25 PRBs allocated </w:t>
      </w:r>
      <w:proofErr w:type="gramStart"/>
      <w:r>
        <w:rPr>
          <w:rFonts w:eastAsia="宋体"/>
          <w:bCs/>
          <w:sz w:val="21"/>
          <w:szCs w:val="21"/>
          <w:lang w:val="en-GB" w:eastAsia="zh-CN"/>
        </w:rPr>
        <w:t>may</w:t>
      </w:r>
      <w:proofErr w:type="gramEnd"/>
      <w:r>
        <w:rPr>
          <w:rFonts w:eastAsia="宋体"/>
          <w:bCs/>
          <w:sz w:val="21"/>
          <w:szCs w:val="21"/>
          <w:lang w:val="en-GB" w:eastAsia="zh-CN"/>
        </w:rPr>
        <w:t xml:space="preserve"> already support more than 1Mbps, and more than 6Mbps for MCS #16 with the same amount of PRBs allocated. </w:t>
      </w:r>
      <w:r w:rsidR="00A41163">
        <w:rPr>
          <w:rFonts w:eastAsia="宋体"/>
          <w:bCs/>
          <w:sz w:val="21"/>
          <w:szCs w:val="21"/>
          <w:lang w:val="en-GB" w:eastAsia="zh-CN"/>
        </w:rPr>
        <w:t>Considering reasonable expectation of the services provided in a high speed train, together with the potential energy consumption at UE side, we think MCS 2 should be enough for 1T1R.</w:t>
      </w:r>
    </w:p>
    <w:p w:rsidR="00A41163" w:rsidRDefault="00A41163" w:rsidP="00A41163">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w:t>
      </w:r>
      <w:r>
        <w:rPr>
          <w:rFonts w:eastAsia="宋体"/>
          <w:b/>
          <w:bCs/>
          <w:sz w:val="21"/>
          <w:szCs w:val="21"/>
          <w:lang w:val="en-GB" w:eastAsia="zh-CN"/>
        </w:rPr>
        <w:t xml:space="preserve"> Only specify MCS #2 for 1T1R configuration (Option 1).</w:t>
      </w:r>
    </w:p>
    <w:p w:rsidR="00973A81" w:rsidRDefault="00973A81" w:rsidP="00A41163">
      <w:pPr>
        <w:pStyle w:val="BodyText"/>
        <w:tabs>
          <w:tab w:val="num" w:pos="226"/>
          <w:tab w:val="num" w:pos="284"/>
          <w:tab w:val="left" w:pos="5103"/>
        </w:tabs>
        <w:snapToGrid w:val="0"/>
        <w:rPr>
          <w:rFonts w:eastAsia="宋体"/>
          <w:b/>
          <w:bCs/>
          <w:sz w:val="21"/>
          <w:szCs w:val="21"/>
          <w:lang w:val="en-GB" w:eastAsia="zh-CN"/>
        </w:rPr>
      </w:pPr>
    </w:p>
    <w:p w:rsidR="00A41163" w:rsidRDefault="00973A81" w:rsidP="009B2891">
      <w:pPr>
        <w:pStyle w:val="BodyText"/>
        <w:tabs>
          <w:tab w:val="num" w:pos="226"/>
          <w:tab w:val="num" w:pos="284"/>
          <w:tab w:val="left" w:pos="5103"/>
        </w:tabs>
        <w:snapToGrid w:val="0"/>
        <w:rPr>
          <w:rFonts w:eastAsia="宋体"/>
          <w:b/>
          <w:bCs/>
          <w:sz w:val="21"/>
          <w:szCs w:val="21"/>
          <w:u w:val="single"/>
          <w:lang w:val="en-GB" w:eastAsia="zh-CN"/>
        </w:rPr>
      </w:pPr>
      <w:r w:rsidRPr="00973A81">
        <w:rPr>
          <w:rFonts w:eastAsia="宋体"/>
          <w:b/>
          <w:bCs/>
          <w:sz w:val="21"/>
          <w:szCs w:val="21"/>
          <w:u w:val="single"/>
          <w:lang w:val="en-GB" w:eastAsia="zh-CN"/>
        </w:rPr>
        <w:t>Specification of multi-path fading channel under high Doppler</w:t>
      </w:r>
    </w:p>
    <w:p w:rsidR="002D26F1" w:rsidRPr="0035522B" w:rsidRDefault="002D26F1" w:rsidP="002D26F1">
      <w:pPr>
        <w:pStyle w:val="ListParagraph"/>
        <w:numPr>
          <w:ilvl w:val="1"/>
          <w:numId w:val="30"/>
        </w:numPr>
        <w:overflowPunct w:val="0"/>
        <w:autoSpaceDE w:val="0"/>
        <w:autoSpaceDN w:val="0"/>
        <w:adjustRightInd w:val="0"/>
        <w:ind w:firstLineChars="0"/>
        <w:textAlignment w:val="baseline"/>
        <w:rPr>
          <w:i/>
          <w:szCs w:val="21"/>
        </w:rPr>
      </w:pPr>
      <w:r w:rsidRPr="0035522B">
        <w:rPr>
          <w:i/>
          <w:szCs w:val="21"/>
        </w:rPr>
        <w:t>Option 1: Do not specify requirements for multi-path fading channel models with high Doppler values.</w:t>
      </w:r>
    </w:p>
    <w:p w:rsidR="002D26F1" w:rsidRPr="0035522B" w:rsidRDefault="002D26F1" w:rsidP="002D26F1">
      <w:pPr>
        <w:pStyle w:val="ListParagraph"/>
        <w:numPr>
          <w:ilvl w:val="1"/>
          <w:numId w:val="30"/>
        </w:numPr>
        <w:overflowPunct w:val="0"/>
        <w:autoSpaceDE w:val="0"/>
        <w:autoSpaceDN w:val="0"/>
        <w:adjustRightInd w:val="0"/>
        <w:ind w:firstLineChars="0"/>
        <w:textAlignment w:val="baseline"/>
        <w:rPr>
          <w:i/>
          <w:szCs w:val="21"/>
        </w:rPr>
      </w:pPr>
      <w:r w:rsidRPr="0035522B">
        <w:rPr>
          <w:i/>
          <w:szCs w:val="21"/>
        </w:rPr>
        <w:t xml:space="preserve">Option 2: Specify PUSCH requirements for multi-path fading channel with maximum </w:t>
      </w:r>
      <w:proofErr w:type="spellStart"/>
      <w:proofErr w:type="gramStart"/>
      <w:r w:rsidRPr="0035522B">
        <w:rPr>
          <w:i/>
          <w:szCs w:val="21"/>
        </w:rPr>
        <w:t>doppler</w:t>
      </w:r>
      <w:proofErr w:type="spellEnd"/>
      <w:proofErr w:type="gramEnd"/>
      <w:r w:rsidRPr="0035522B">
        <w:rPr>
          <w:i/>
          <w:szCs w:val="21"/>
        </w:rPr>
        <w:t xml:space="preserve"> shift of 600Hz and 1200Hz for 15kHz SCS and 30kHz SCS, respectively.</w:t>
      </w:r>
    </w:p>
    <w:p w:rsidR="002D26F1" w:rsidRPr="0035522B" w:rsidRDefault="002D26F1" w:rsidP="002D26F1">
      <w:pPr>
        <w:pStyle w:val="ListParagraph"/>
        <w:numPr>
          <w:ilvl w:val="1"/>
          <w:numId w:val="30"/>
        </w:numPr>
        <w:overflowPunct w:val="0"/>
        <w:autoSpaceDE w:val="0"/>
        <w:autoSpaceDN w:val="0"/>
        <w:adjustRightInd w:val="0"/>
        <w:ind w:firstLineChars="0"/>
        <w:textAlignment w:val="baseline"/>
        <w:rPr>
          <w:i/>
          <w:szCs w:val="21"/>
        </w:rPr>
      </w:pPr>
      <w:r w:rsidRPr="0035522B">
        <w:rPr>
          <w:i/>
          <w:szCs w:val="21"/>
        </w:rPr>
        <w:t>Option 4: Define HST Tunnel with MCS 2 and HST multi-path fading with MCS 16.</w:t>
      </w:r>
    </w:p>
    <w:p w:rsidR="002D26F1" w:rsidRPr="0035522B" w:rsidRDefault="002D26F1" w:rsidP="002D26F1">
      <w:pPr>
        <w:pStyle w:val="ListParagraph"/>
        <w:numPr>
          <w:ilvl w:val="1"/>
          <w:numId w:val="30"/>
        </w:numPr>
        <w:overflowPunct w:val="0"/>
        <w:autoSpaceDE w:val="0"/>
        <w:autoSpaceDN w:val="0"/>
        <w:adjustRightInd w:val="0"/>
        <w:ind w:firstLineChars="0"/>
        <w:textAlignment w:val="baseline"/>
        <w:rPr>
          <w:i/>
          <w:szCs w:val="21"/>
        </w:rPr>
      </w:pPr>
      <w:r w:rsidRPr="0035522B">
        <w:rPr>
          <w:i/>
          <w:szCs w:val="21"/>
        </w:rPr>
        <w:t>Option 5: Define HST multi-path fading with MCS 16 for open space scenario only.</w:t>
      </w:r>
    </w:p>
    <w:p w:rsidR="002D26F1" w:rsidRPr="002D26F1" w:rsidRDefault="002D26F1" w:rsidP="009B2891">
      <w:pPr>
        <w:pStyle w:val="BodyText"/>
        <w:tabs>
          <w:tab w:val="num" w:pos="226"/>
          <w:tab w:val="num" w:pos="284"/>
          <w:tab w:val="left" w:pos="5103"/>
        </w:tabs>
        <w:snapToGrid w:val="0"/>
        <w:rPr>
          <w:rFonts w:eastAsia="宋体"/>
          <w:b/>
          <w:bCs/>
          <w:sz w:val="21"/>
          <w:szCs w:val="21"/>
          <w:u w:val="single"/>
          <w:lang w:val="en-US" w:eastAsia="zh-CN"/>
        </w:rPr>
      </w:pPr>
    </w:p>
    <w:p w:rsidR="00A41163" w:rsidRDefault="001F771B"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For high Doppler case, if a multi-path propagation model is considered, e.g., an overall channel is modelled as “a fixed Doppler shift + a multi-path model with a certain Doppler spread”, </w:t>
      </w:r>
      <w:r w:rsidR="00B939B6">
        <w:rPr>
          <w:rFonts w:eastAsia="宋体"/>
          <w:bCs/>
          <w:sz w:val="21"/>
          <w:szCs w:val="21"/>
          <w:lang w:val="en-GB" w:eastAsia="zh-CN"/>
        </w:rPr>
        <w:t xml:space="preserve">then for a certain high speed scenario, what is the value for the fixed Doppler shift and what is for Doppler spread should be studied. Furthermore, based on our understanding, we doubt that the overall channel model is appropriate. </w:t>
      </w:r>
      <w:r w:rsidR="008C2329">
        <w:rPr>
          <w:rFonts w:eastAsia="宋体"/>
          <w:bCs/>
          <w:sz w:val="21"/>
          <w:szCs w:val="21"/>
          <w:lang w:val="en-GB" w:eastAsia="zh-CN"/>
        </w:rPr>
        <w:t>And now it is the ending stage of Rel-16, we think this can be studied in a future release.</w:t>
      </w:r>
    </w:p>
    <w:p w:rsidR="008C2329" w:rsidRDefault="008C2329"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w:t>
      </w:r>
      <w:r w:rsidR="00A87885" w:rsidRPr="00A87885">
        <w:rPr>
          <w:rFonts w:eastAsia="宋体"/>
          <w:b/>
          <w:bCs/>
          <w:sz w:val="21"/>
          <w:szCs w:val="21"/>
          <w:lang w:val="en-GB" w:eastAsia="zh-CN"/>
        </w:rPr>
        <w:t>Do not specify requirements for multi-path fading channel models with high Doppler values</w:t>
      </w:r>
      <w:r w:rsidR="00A87885">
        <w:rPr>
          <w:rFonts w:eastAsia="宋体"/>
          <w:b/>
          <w:bCs/>
          <w:sz w:val="21"/>
          <w:szCs w:val="21"/>
          <w:lang w:val="en-GB" w:eastAsia="zh-CN"/>
        </w:rPr>
        <w:t xml:space="preserve"> in Rel-16 by considering the potential required study and the current ending stage</w:t>
      </w:r>
      <w:r w:rsidR="008474BE">
        <w:rPr>
          <w:rFonts w:eastAsia="宋体"/>
          <w:b/>
          <w:bCs/>
          <w:sz w:val="21"/>
          <w:szCs w:val="21"/>
          <w:lang w:val="en-GB" w:eastAsia="zh-CN"/>
        </w:rPr>
        <w:t xml:space="preserve"> (Option 1)</w:t>
      </w:r>
      <w:r w:rsidR="00A87885">
        <w:rPr>
          <w:rFonts w:eastAsia="宋体"/>
          <w:b/>
          <w:bCs/>
          <w:sz w:val="21"/>
          <w:szCs w:val="21"/>
          <w:lang w:val="en-GB" w:eastAsia="zh-CN"/>
        </w:rPr>
        <w:t>.</w:t>
      </w:r>
    </w:p>
    <w:p w:rsidR="00A41163" w:rsidRDefault="00A41163" w:rsidP="009B2891">
      <w:pPr>
        <w:pStyle w:val="BodyText"/>
        <w:tabs>
          <w:tab w:val="num" w:pos="226"/>
          <w:tab w:val="num" w:pos="284"/>
          <w:tab w:val="left" w:pos="5103"/>
        </w:tabs>
        <w:snapToGrid w:val="0"/>
        <w:rPr>
          <w:rFonts w:eastAsia="宋体"/>
          <w:bCs/>
          <w:sz w:val="21"/>
          <w:szCs w:val="21"/>
          <w:lang w:val="en-GB" w:eastAsia="zh-CN"/>
        </w:rPr>
      </w:pPr>
    </w:p>
    <w:p w:rsidR="008474BE" w:rsidRDefault="00463007" w:rsidP="009B2891">
      <w:pPr>
        <w:pStyle w:val="BodyText"/>
        <w:tabs>
          <w:tab w:val="num" w:pos="226"/>
          <w:tab w:val="num" w:pos="284"/>
          <w:tab w:val="left" w:pos="5103"/>
        </w:tabs>
        <w:snapToGrid w:val="0"/>
        <w:rPr>
          <w:rFonts w:eastAsia="宋体"/>
          <w:b/>
          <w:bCs/>
          <w:sz w:val="21"/>
          <w:szCs w:val="21"/>
          <w:u w:val="single"/>
          <w:lang w:val="en-GB" w:eastAsia="zh-CN"/>
        </w:rPr>
      </w:pPr>
      <w:r w:rsidRPr="00463007">
        <w:rPr>
          <w:rFonts w:eastAsia="宋体"/>
          <w:b/>
          <w:bCs/>
          <w:sz w:val="21"/>
          <w:szCs w:val="21"/>
          <w:u w:val="single"/>
          <w:lang w:val="en-GB" w:eastAsia="zh-CN"/>
        </w:rPr>
        <w:t>TDLC300-100 propagation conditions for long preamble formats</w:t>
      </w:r>
    </w:p>
    <w:p w:rsidR="009B5982" w:rsidRPr="0084404B" w:rsidRDefault="009B5982" w:rsidP="009B5982">
      <w:pPr>
        <w:pStyle w:val="ListParagraph"/>
        <w:numPr>
          <w:ilvl w:val="1"/>
          <w:numId w:val="30"/>
        </w:numPr>
        <w:overflowPunct w:val="0"/>
        <w:autoSpaceDE w:val="0"/>
        <w:autoSpaceDN w:val="0"/>
        <w:adjustRightInd w:val="0"/>
        <w:ind w:firstLineChars="0"/>
        <w:textAlignment w:val="baseline"/>
        <w:rPr>
          <w:i/>
          <w:szCs w:val="21"/>
        </w:rPr>
      </w:pPr>
      <w:r w:rsidRPr="0084404B">
        <w:rPr>
          <w:i/>
          <w:szCs w:val="21"/>
        </w:rPr>
        <w:t>Option 2: Do not to introduce TDLC300-100 fading channel with frequency offset of 400Hz requirements for long preamble formats for HST requirements.</w:t>
      </w:r>
    </w:p>
    <w:p w:rsidR="009B5982" w:rsidRPr="0084404B" w:rsidRDefault="009B5982" w:rsidP="009B5982">
      <w:pPr>
        <w:pStyle w:val="ListParagraph"/>
        <w:numPr>
          <w:ilvl w:val="1"/>
          <w:numId w:val="30"/>
        </w:numPr>
        <w:overflowPunct w:val="0"/>
        <w:autoSpaceDE w:val="0"/>
        <w:autoSpaceDN w:val="0"/>
        <w:adjustRightInd w:val="0"/>
        <w:ind w:firstLineChars="0"/>
        <w:textAlignment w:val="baseline"/>
        <w:rPr>
          <w:i/>
          <w:szCs w:val="21"/>
        </w:rPr>
      </w:pPr>
      <w:r w:rsidRPr="0084404B">
        <w:rPr>
          <w:i/>
          <w:szCs w:val="21"/>
        </w:rPr>
        <w:t>Option 3: Introduce TDLC300-100 for PRACH restricted set type A and B.</w:t>
      </w:r>
    </w:p>
    <w:p w:rsidR="009B5982" w:rsidRPr="0084404B" w:rsidRDefault="009B5982" w:rsidP="009B5982">
      <w:pPr>
        <w:pStyle w:val="ListParagraph"/>
        <w:numPr>
          <w:ilvl w:val="1"/>
          <w:numId w:val="30"/>
        </w:numPr>
        <w:overflowPunct w:val="0"/>
        <w:autoSpaceDE w:val="0"/>
        <w:autoSpaceDN w:val="0"/>
        <w:adjustRightInd w:val="0"/>
        <w:ind w:firstLineChars="0"/>
        <w:textAlignment w:val="baseline"/>
        <w:rPr>
          <w:i/>
          <w:szCs w:val="21"/>
        </w:rPr>
      </w:pPr>
      <w:r w:rsidRPr="0084404B">
        <w:rPr>
          <w:i/>
          <w:szCs w:val="21"/>
        </w:rPr>
        <w:t>Option 4: Introduce TDLC300-100 fading channel with frequency offset of 400Hz requirements for long preamble 0 restricted set type A and B in non-HST sections.</w:t>
      </w:r>
    </w:p>
    <w:p w:rsidR="009B5982" w:rsidRPr="009B5982" w:rsidRDefault="009B5982" w:rsidP="009B2891">
      <w:pPr>
        <w:pStyle w:val="BodyText"/>
        <w:tabs>
          <w:tab w:val="num" w:pos="226"/>
          <w:tab w:val="num" w:pos="284"/>
          <w:tab w:val="left" w:pos="5103"/>
        </w:tabs>
        <w:snapToGrid w:val="0"/>
        <w:rPr>
          <w:rFonts w:eastAsia="宋体"/>
          <w:b/>
          <w:bCs/>
          <w:sz w:val="21"/>
          <w:szCs w:val="21"/>
          <w:u w:val="single"/>
          <w:lang w:val="en-US" w:eastAsia="zh-CN"/>
        </w:rPr>
      </w:pPr>
    </w:p>
    <w:p w:rsidR="008474BE" w:rsidRPr="00167AA6" w:rsidRDefault="00167AA6" w:rsidP="009B2891">
      <w:pPr>
        <w:pStyle w:val="BodyText"/>
        <w:tabs>
          <w:tab w:val="num" w:pos="226"/>
          <w:tab w:val="num" w:pos="284"/>
          <w:tab w:val="left" w:pos="5103"/>
        </w:tabs>
        <w:snapToGrid w:val="0"/>
        <w:rPr>
          <w:rFonts w:eastAsia="宋体"/>
          <w:bCs/>
          <w:sz w:val="21"/>
          <w:szCs w:val="21"/>
          <w:lang w:val="en-US" w:eastAsia="zh-CN"/>
        </w:rPr>
      </w:pPr>
      <w:r>
        <w:rPr>
          <w:rFonts w:eastAsia="宋体"/>
          <w:bCs/>
          <w:sz w:val="21"/>
          <w:szCs w:val="21"/>
          <w:lang w:val="en-US" w:eastAsia="zh-CN"/>
        </w:rPr>
        <w:t xml:space="preserve">Similar consideration as above for NR HST PUSCH, it requires further study on proper modelling and obviously </w:t>
      </w:r>
      <w:r w:rsidR="000A5CDA">
        <w:rPr>
          <w:rFonts w:eastAsia="宋体"/>
          <w:bCs/>
          <w:sz w:val="21"/>
          <w:szCs w:val="21"/>
          <w:lang w:val="en-US" w:eastAsia="zh-CN"/>
        </w:rPr>
        <w:t>too late for Rel-16 for the time being.</w:t>
      </w:r>
    </w:p>
    <w:p w:rsidR="00463007" w:rsidRDefault="00463007"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3</w:t>
      </w:r>
      <w:r w:rsidRPr="009C0ACA">
        <w:rPr>
          <w:rFonts w:eastAsia="宋体"/>
          <w:b/>
          <w:bCs/>
          <w:sz w:val="21"/>
          <w:szCs w:val="21"/>
          <w:lang w:val="en-GB" w:eastAsia="zh-CN"/>
        </w:rPr>
        <w:t>:</w:t>
      </w:r>
      <w:r w:rsidR="000A5CDA">
        <w:rPr>
          <w:rFonts w:eastAsia="宋体"/>
          <w:b/>
          <w:bCs/>
          <w:sz w:val="21"/>
          <w:szCs w:val="21"/>
          <w:lang w:val="en-GB" w:eastAsia="zh-CN"/>
        </w:rPr>
        <w:t xml:space="preserve"> Do not introduce TDLC300-100 fading channel with frequency offset of 400Hz requirements for long preamble formats for HST requirements (Option 2).</w:t>
      </w:r>
    </w:p>
    <w:p w:rsidR="00463007" w:rsidRDefault="00463007" w:rsidP="009B2891">
      <w:pPr>
        <w:pStyle w:val="BodyText"/>
        <w:tabs>
          <w:tab w:val="num" w:pos="226"/>
          <w:tab w:val="num" w:pos="284"/>
          <w:tab w:val="left" w:pos="5103"/>
        </w:tabs>
        <w:snapToGrid w:val="0"/>
        <w:rPr>
          <w:rFonts w:eastAsia="宋体"/>
          <w:bCs/>
          <w:sz w:val="21"/>
          <w:szCs w:val="21"/>
          <w:lang w:val="en-GB" w:eastAsia="zh-CN"/>
        </w:rPr>
      </w:pPr>
    </w:p>
    <w:p w:rsidR="00463007" w:rsidRPr="00463007" w:rsidRDefault="00463007" w:rsidP="009B2891">
      <w:pPr>
        <w:pStyle w:val="BodyText"/>
        <w:tabs>
          <w:tab w:val="num" w:pos="226"/>
          <w:tab w:val="num" w:pos="284"/>
          <w:tab w:val="left" w:pos="5103"/>
        </w:tabs>
        <w:snapToGrid w:val="0"/>
        <w:rPr>
          <w:rFonts w:eastAsia="宋体"/>
          <w:b/>
          <w:bCs/>
          <w:sz w:val="21"/>
          <w:szCs w:val="21"/>
          <w:u w:val="single"/>
          <w:lang w:val="en-GB" w:eastAsia="zh-CN"/>
        </w:rPr>
      </w:pPr>
      <w:r w:rsidRPr="00463007">
        <w:rPr>
          <w:rFonts w:eastAsia="宋体"/>
          <w:b/>
          <w:bCs/>
          <w:sz w:val="21"/>
          <w:szCs w:val="21"/>
          <w:u w:val="single"/>
          <w:lang w:val="en-GB" w:eastAsia="zh-CN"/>
        </w:rPr>
        <w:lastRenderedPageBreak/>
        <w:t>PRACH high speed support declaration for HST</w:t>
      </w:r>
    </w:p>
    <w:p w:rsidR="00167AA6" w:rsidRPr="00544C9F" w:rsidRDefault="00167AA6" w:rsidP="00167AA6">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1c: One declaration table entry for short and long format.</w:t>
      </w:r>
    </w:p>
    <w:p w:rsidR="00167AA6" w:rsidRDefault="00167AA6" w:rsidP="00167AA6">
      <w:pPr>
        <w:pStyle w:val="ListParagraph"/>
        <w:numPr>
          <w:ilvl w:val="1"/>
          <w:numId w:val="30"/>
        </w:numPr>
        <w:overflowPunct w:val="0"/>
        <w:autoSpaceDE w:val="0"/>
        <w:autoSpaceDN w:val="0"/>
        <w:adjustRightInd w:val="0"/>
        <w:ind w:firstLineChars="0"/>
        <w:textAlignment w:val="baseline"/>
        <w:rPr>
          <w:i/>
          <w:szCs w:val="21"/>
        </w:rPr>
      </w:pPr>
      <w:r w:rsidRPr="00544C9F">
        <w:rPr>
          <w:i/>
          <w:szCs w:val="21"/>
        </w:rPr>
        <w:t>Option 2: Include the two new manufacturer declarations “PRACH high speed train long format support” and “PRACH high speed train short format support”,</w:t>
      </w:r>
    </w:p>
    <w:p w:rsidR="00463007" w:rsidRPr="00167AA6" w:rsidRDefault="00167AA6" w:rsidP="00167AA6">
      <w:pPr>
        <w:pStyle w:val="ListParagraph"/>
        <w:numPr>
          <w:ilvl w:val="1"/>
          <w:numId w:val="30"/>
        </w:numPr>
        <w:overflowPunct w:val="0"/>
        <w:autoSpaceDE w:val="0"/>
        <w:autoSpaceDN w:val="0"/>
        <w:adjustRightInd w:val="0"/>
        <w:ind w:firstLineChars="0"/>
        <w:textAlignment w:val="baseline"/>
        <w:rPr>
          <w:i/>
          <w:szCs w:val="21"/>
        </w:rPr>
      </w:pPr>
      <w:r w:rsidRPr="00167AA6">
        <w:rPr>
          <w:i/>
          <w:szCs w:val="21"/>
        </w:rPr>
        <w:t>Option 4: One declaration table entry for short and long format, no HST support</w:t>
      </w:r>
    </w:p>
    <w:p w:rsidR="00167AA6" w:rsidRDefault="000C3C53"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For declaration on NR HST PUSCH, there are two declaration entries: 1) HST or no HST support 2) Max speed support. It is reasonable that the first declaration for HST or no HST support should apply for HST PUSCH, HST PRACH and UL TA. Therefore, Option 4 obviously is not consistent with HST PUSCH, and Option 1c should be enough.</w:t>
      </w:r>
    </w:p>
    <w:p w:rsidR="00463007" w:rsidRDefault="00463007"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4</w:t>
      </w:r>
      <w:r w:rsidRPr="009C0ACA">
        <w:rPr>
          <w:rFonts w:eastAsia="宋体"/>
          <w:b/>
          <w:bCs/>
          <w:sz w:val="21"/>
          <w:szCs w:val="21"/>
          <w:lang w:val="en-GB" w:eastAsia="zh-CN"/>
        </w:rPr>
        <w:t>:</w:t>
      </w:r>
      <w:r w:rsidR="000C3C53">
        <w:rPr>
          <w:rFonts w:eastAsia="宋体"/>
          <w:b/>
          <w:bCs/>
          <w:sz w:val="21"/>
          <w:szCs w:val="21"/>
          <w:lang w:val="en-GB" w:eastAsia="zh-CN"/>
        </w:rPr>
        <w:t xml:space="preserve"> HST PRACH support should be covered by the same declaration entry for HST PUSCH and UL TA, and one declaration </w:t>
      </w:r>
      <w:proofErr w:type="spellStart"/>
      <w:r w:rsidR="000C3C53">
        <w:rPr>
          <w:rFonts w:eastAsia="宋体"/>
          <w:b/>
          <w:bCs/>
          <w:sz w:val="21"/>
          <w:szCs w:val="21"/>
          <w:lang w:val="en-GB" w:eastAsia="zh-CN"/>
        </w:rPr>
        <w:t>enty</w:t>
      </w:r>
      <w:proofErr w:type="spellEnd"/>
      <w:r w:rsidR="000C3C53">
        <w:rPr>
          <w:rFonts w:eastAsia="宋体"/>
          <w:b/>
          <w:bCs/>
          <w:sz w:val="21"/>
          <w:szCs w:val="21"/>
          <w:lang w:val="en-GB" w:eastAsia="zh-CN"/>
        </w:rPr>
        <w:t xml:space="preserve"> for short and long preamble format is enough (Option 1c).</w:t>
      </w:r>
    </w:p>
    <w:p w:rsidR="00463007" w:rsidRDefault="00463007" w:rsidP="009B2891">
      <w:pPr>
        <w:pStyle w:val="BodyText"/>
        <w:tabs>
          <w:tab w:val="num" w:pos="226"/>
          <w:tab w:val="num" w:pos="284"/>
          <w:tab w:val="left" w:pos="5103"/>
        </w:tabs>
        <w:snapToGrid w:val="0"/>
        <w:rPr>
          <w:rFonts w:eastAsia="宋体"/>
          <w:bCs/>
          <w:sz w:val="21"/>
          <w:szCs w:val="21"/>
          <w:lang w:val="en-GB" w:eastAsia="zh-CN"/>
        </w:rPr>
      </w:pPr>
    </w:p>
    <w:p w:rsidR="00463007" w:rsidRPr="00463007" w:rsidRDefault="00463007" w:rsidP="009B2891">
      <w:pPr>
        <w:pStyle w:val="BodyText"/>
        <w:tabs>
          <w:tab w:val="num" w:pos="226"/>
          <w:tab w:val="num" w:pos="284"/>
          <w:tab w:val="left" w:pos="5103"/>
        </w:tabs>
        <w:snapToGrid w:val="0"/>
        <w:rPr>
          <w:rFonts w:eastAsia="宋体"/>
          <w:b/>
          <w:bCs/>
          <w:sz w:val="21"/>
          <w:szCs w:val="21"/>
          <w:u w:val="single"/>
          <w:lang w:val="en-GB" w:eastAsia="zh-CN"/>
        </w:rPr>
      </w:pPr>
      <w:r w:rsidRPr="00463007">
        <w:rPr>
          <w:rFonts w:eastAsia="宋体"/>
          <w:b/>
          <w:bCs/>
          <w:sz w:val="21"/>
          <w:szCs w:val="21"/>
          <w:u w:val="single"/>
          <w:lang w:val="en-GB" w:eastAsia="zh-CN"/>
        </w:rPr>
        <w:t>Additional scenario “X” for UL TA</w:t>
      </w:r>
    </w:p>
    <w:p w:rsidR="0092327D" w:rsidRDefault="00167AA6" w:rsidP="0092327D">
      <w:pPr>
        <w:pStyle w:val="ListParagraph"/>
        <w:numPr>
          <w:ilvl w:val="1"/>
          <w:numId w:val="30"/>
        </w:numPr>
        <w:overflowPunct w:val="0"/>
        <w:autoSpaceDE w:val="0"/>
        <w:autoSpaceDN w:val="0"/>
        <w:adjustRightInd w:val="0"/>
        <w:ind w:firstLineChars="0"/>
        <w:textAlignment w:val="baseline"/>
        <w:rPr>
          <w:i/>
          <w:szCs w:val="21"/>
        </w:rPr>
      </w:pPr>
      <w:r w:rsidRPr="000360EB">
        <w:rPr>
          <w:i/>
          <w:szCs w:val="21"/>
        </w:rPr>
        <w:t>Option 1: Specify requirements for scenario X.</w:t>
      </w:r>
    </w:p>
    <w:p w:rsidR="00463007" w:rsidRPr="0092327D" w:rsidRDefault="00167AA6" w:rsidP="0092327D">
      <w:pPr>
        <w:pStyle w:val="ListParagraph"/>
        <w:numPr>
          <w:ilvl w:val="1"/>
          <w:numId w:val="30"/>
        </w:numPr>
        <w:overflowPunct w:val="0"/>
        <w:autoSpaceDE w:val="0"/>
        <w:autoSpaceDN w:val="0"/>
        <w:adjustRightInd w:val="0"/>
        <w:ind w:firstLineChars="0"/>
        <w:textAlignment w:val="baseline"/>
        <w:rPr>
          <w:i/>
          <w:szCs w:val="21"/>
        </w:rPr>
      </w:pPr>
      <w:r w:rsidRPr="0092327D">
        <w:rPr>
          <w:rFonts w:ascii="Times New Roman" w:eastAsia="Times New Roman" w:hAnsi="Times New Roman"/>
          <w:i/>
          <w:kern w:val="0"/>
          <w:sz w:val="20"/>
          <w:szCs w:val="21"/>
          <w:lang w:eastAsia="en-US"/>
        </w:rPr>
        <w:t>Option 2: Do not specify scenario “X”.</w:t>
      </w:r>
    </w:p>
    <w:p w:rsidR="00463007" w:rsidRDefault="006D7D17"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Under current unprecedented circumstances, only one WG meeting in Q4 might be expected, which means even if we decide to introduce performance requirements for 120km/h, all of works shall be completed within only one meeting cycle. This looks not practical for Rel-16, so we propose to postpone to Rel-17 instead.</w:t>
      </w:r>
    </w:p>
    <w:p w:rsidR="00463007" w:rsidRDefault="00463007"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5</w:t>
      </w:r>
      <w:r w:rsidRPr="009C0ACA">
        <w:rPr>
          <w:rFonts w:eastAsia="宋体"/>
          <w:b/>
          <w:bCs/>
          <w:sz w:val="21"/>
          <w:szCs w:val="21"/>
          <w:lang w:val="en-GB" w:eastAsia="zh-CN"/>
        </w:rPr>
        <w:t>:</w:t>
      </w:r>
      <w:r w:rsidR="006D7D17">
        <w:rPr>
          <w:rFonts w:eastAsia="宋体"/>
          <w:b/>
          <w:bCs/>
          <w:sz w:val="21"/>
          <w:szCs w:val="21"/>
          <w:lang w:val="en-GB" w:eastAsia="zh-CN"/>
        </w:rPr>
        <w:t xml:space="preserve"> Postpone requirements for scenario X to Rel-17 (Option 2).</w:t>
      </w:r>
    </w:p>
    <w:p w:rsidR="00463007" w:rsidRDefault="00463007" w:rsidP="009B2891">
      <w:pPr>
        <w:pStyle w:val="BodyText"/>
        <w:tabs>
          <w:tab w:val="num" w:pos="226"/>
          <w:tab w:val="num" w:pos="284"/>
          <w:tab w:val="left" w:pos="5103"/>
        </w:tabs>
        <w:snapToGrid w:val="0"/>
        <w:rPr>
          <w:rFonts w:eastAsia="宋体"/>
          <w:bCs/>
          <w:sz w:val="21"/>
          <w:szCs w:val="21"/>
          <w:lang w:val="en-GB" w:eastAsia="zh-CN"/>
        </w:rPr>
      </w:pPr>
    </w:p>
    <w:p w:rsidR="00463007" w:rsidRPr="00463007" w:rsidRDefault="00463007" w:rsidP="009B2891">
      <w:pPr>
        <w:pStyle w:val="BodyText"/>
        <w:tabs>
          <w:tab w:val="num" w:pos="226"/>
          <w:tab w:val="num" w:pos="284"/>
          <w:tab w:val="left" w:pos="5103"/>
        </w:tabs>
        <w:snapToGrid w:val="0"/>
        <w:rPr>
          <w:rFonts w:eastAsia="宋体"/>
          <w:b/>
          <w:bCs/>
          <w:sz w:val="21"/>
          <w:szCs w:val="21"/>
          <w:u w:val="single"/>
          <w:lang w:val="en-GB" w:eastAsia="zh-CN"/>
        </w:rPr>
      </w:pPr>
      <w:r w:rsidRPr="00463007">
        <w:rPr>
          <w:rFonts w:eastAsia="宋体"/>
          <w:b/>
          <w:bCs/>
          <w:sz w:val="21"/>
          <w:szCs w:val="21"/>
          <w:u w:val="single"/>
          <w:lang w:val="en-GB" w:eastAsia="zh-CN"/>
        </w:rPr>
        <w:t>Organization of HST requirements for UL TA 500kph in specifications</w:t>
      </w:r>
    </w:p>
    <w:p w:rsidR="00167AA6" w:rsidRPr="00510127" w:rsidRDefault="00167AA6" w:rsidP="00167AA6">
      <w:pPr>
        <w:pStyle w:val="ListParagraph"/>
        <w:numPr>
          <w:ilvl w:val="1"/>
          <w:numId w:val="30"/>
        </w:numPr>
        <w:overflowPunct w:val="0"/>
        <w:autoSpaceDE w:val="0"/>
        <w:autoSpaceDN w:val="0"/>
        <w:adjustRightInd w:val="0"/>
        <w:ind w:firstLineChars="0"/>
        <w:textAlignment w:val="baseline"/>
        <w:rPr>
          <w:i/>
          <w:szCs w:val="21"/>
        </w:rPr>
      </w:pPr>
      <w:r w:rsidRPr="00510127">
        <w:rPr>
          <w:i/>
          <w:szCs w:val="21"/>
        </w:rPr>
        <w:t>Option 1: Requirements for different scenarios captured in same table.</w:t>
      </w:r>
    </w:p>
    <w:p w:rsidR="0092327D" w:rsidRPr="0092327D" w:rsidRDefault="00167AA6" w:rsidP="00572ADE">
      <w:pPr>
        <w:pStyle w:val="ListParagraph"/>
        <w:numPr>
          <w:ilvl w:val="1"/>
          <w:numId w:val="30"/>
        </w:numPr>
        <w:tabs>
          <w:tab w:val="num" w:pos="226"/>
          <w:tab w:val="num" w:pos="284"/>
          <w:tab w:val="left" w:pos="5103"/>
        </w:tabs>
        <w:overflowPunct w:val="0"/>
        <w:autoSpaceDE w:val="0"/>
        <w:autoSpaceDN w:val="0"/>
        <w:adjustRightInd w:val="0"/>
        <w:snapToGrid w:val="0"/>
        <w:ind w:firstLineChars="0"/>
        <w:textAlignment w:val="baseline"/>
        <w:rPr>
          <w:bCs/>
          <w:szCs w:val="21"/>
          <w:lang w:val="en-GB"/>
        </w:rPr>
      </w:pPr>
      <w:r w:rsidRPr="00510127">
        <w:rPr>
          <w:i/>
          <w:szCs w:val="21"/>
        </w:rPr>
        <w:t>Option 2: Requirements for different scenarios captured in separate tables.</w:t>
      </w:r>
    </w:p>
    <w:p w:rsidR="00463007" w:rsidRPr="0092327D" w:rsidRDefault="00167AA6" w:rsidP="00572ADE">
      <w:pPr>
        <w:pStyle w:val="ListParagraph"/>
        <w:numPr>
          <w:ilvl w:val="1"/>
          <w:numId w:val="30"/>
        </w:numPr>
        <w:tabs>
          <w:tab w:val="num" w:pos="226"/>
          <w:tab w:val="num" w:pos="284"/>
          <w:tab w:val="left" w:pos="5103"/>
        </w:tabs>
        <w:overflowPunct w:val="0"/>
        <w:autoSpaceDE w:val="0"/>
        <w:autoSpaceDN w:val="0"/>
        <w:adjustRightInd w:val="0"/>
        <w:snapToGrid w:val="0"/>
        <w:ind w:firstLineChars="0"/>
        <w:textAlignment w:val="baseline"/>
        <w:rPr>
          <w:bCs/>
          <w:szCs w:val="21"/>
          <w:lang w:val="en-GB"/>
        </w:rPr>
      </w:pPr>
      <w:r w:rsidRPr="0092327D">
        <w:rPr>
          <w:rFonts w:ascii="Times New Roman" w:eastAsia="Times New Roman" w:hAnsi="Times New Roman"/>
          <w:i/>
          <w:kern w:val="0"/>
          <w:sz w:val="20"/>
          <w:szCs w:val="21"/>
          <w:lang w:eastAsia="en-US"/>
        </w:rPr>
        <w:t>Option 3: Capture the 500kph UL TA scenario in the same table as the 350kph UL TA scenario.</w:t>
      </w:r>
    </w:p>
    <w:p w:rsidR="00167AA6" w:rsidRDefault="00A738DD" w:rsidP="009B2891">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If all of test parameters for testing UL TA for 350km/h and 500km/h are the same except the maximum speed, and there are only very few rows in the current two tables in the spec, it is possible to extend the current tables to the new scenario which makes the section concise but still with good readability. So we think Option 3 is a good choice for this section.</w:t>
      </w:r>
    </w:p>
    <w:p w:rsidR="00167AA6" w:rsidRDefault="00167AA6" w:rsidP="009B2891">
      <w:pPr>
        <w:pStyle w:val="BodyText"/>
        <w:tabs>
          <w:tab w:val="num" w:pos="226"/>
          <w:tab w:val="num" w:pos="284"/>
          <w:tab w:val="left" w:pos="5103"/>
        </w:tabs>
        <w:snapToGrid w:val="0"/>
        <w:rPr>
          <w:rFonts w:eastAsia="宋体"/>
          <w:bCs/>
          <w:sz w:val="21"/>
          <w:szCs w:val="21"/>
          <w:lang w:val="en-GB" w:eastAsia="zh-CN"/>
        </w:rPr>
      </w:pPr>
    </w:p>
    <w:p w:rsidR="00463007" w:rsidRDefault="00463007" w:rsidP="00463007">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6</w:t>
      </w:r>
      <w:r w:rsidRPr="009C0ACA">
        <w:rPr>
          <w:rFonts w:eastAsia="宋体"/>
          <w:b/>
          <w:bCs/>
          <w:sz w:val="21"/>
          <w:szCs w:val="21"/>
          <w:lang w:val="en-GB" w:eastAsia="zh-CN"/>
        </w:rPr>
        <w:t>:</w:t>
      </w:r>
      <w:r w:rsidR="00A738DD">
        <w:rPr>
          <w:rFonts w:eastAsia="宋体"/>
          <w:b/>
          <w:bCs/>
          <w:sz w:val="21"/>
          <w:szCs w:val="21"/>
          <w:lang w:val="en-GB" w:eastAsia="zh-CN"/>
        </w:rPr>
        <w:t xml:space="preserve"> </w:t>
      </w:r>
      <w:r w:rsidR="00A70F06">
        <w:rPr>
          <w:rFonts w:eastAsia="宋体"/>
          <w:b/>
          <w:bCs/>
          <w:sz w:val="21"/>
          <w:szCs w:val="21"/>
          <w:lang w:val="en-GB" w:eastAsia="zh-CN"/>
        </w:rPr>
        <w:t xml:space="preserve">To </w:t>
      </w:r>
      <w:proofErr w:type="gramStart"/>
      <w:r w:rsidR="00A738DD">
        <w:rPr>
          <w:rFonts w:eastAsia="宋体"/>
          <w:b/>
          <w:bCs/>
          <w:sz w:val="21"/>
          <w:szCs w:val="21"/>
          <w:lang w:val="en-GB" w:eastAsia="zh-CN"/>
        </w:rPr>
        <w:t>Extend</w:t>
      </w:r>
      <w:proofErr w:type="gramEnd"/>
      <w:r w:rsidR="00A738DD">
        <w:rPr>
          <w:rFonts w:eastAsia="宋体"/>
          <w:b/>
          <w:bCs/>
          <w:sz w:val="21"/>
          <w:szCs w:val="21"/>
          <w:lang w:val="en-GB" w:eastAsia="zh-CN"/>
        </w:rPr>
        <w:t xml:space="preserve"> the current tables in UL TA section to 500km/h by inserting new rows for 500km/h </w:t>
      </w:r>
      <w:r w:rsidR="00A70F06">
        <w:rPr>
          <w:rFonts w:eastAsia="宋体"/>
          <w:b/>
          <w:bCs/>
          <w:sz w:val="21"/>
          <w:szCs w:val="21"/>
          <w:lang w:val="en-GB" w:eastAsia="zh-CN"/>
        </w:rPr>
        <w:t xml:space="preserve">is a good choice with conciseness and readability </w:t>
      </w:r>
      <w:r w:rsidR="00A738DD">
        <w:rPr>
          <w:rFonts w:eastAsia="宋体"/>
          <w:b/>
          <w:bCs/>
          <w:sz w:val="21"/>
          <w:szCs w:val="21"/>
          <w:lang w:val="en-GB" w:eastAsia="zh-CN"/>
        </w:rPr>
        <w:t>(Option 3).</w:t>
      </w:r>
    </w:p>
    <w:p w:rsidR="00463007" w:rsidRDefault="00463007" w:rsidP="009B2891">
      <w:pPr>
        <w:pStyle w:val="BodyText"/>
        <w:tabs>
          <w:tab w:val="num" w:pos="226"/>
          <w:tab w:val="num" w:pos="284"/>
          <w:tab w:val="left" w:pos="5103"/>
        </w:tabs>
        <w:snapToGrid w:val="0"/>
        <w:rPr>
          <w:rFonts w:eastAsia="宋体"/>
          <w:bCs/>
          <w:sz w:val="21"/>
          <w:szCs w:val="21"/>
          <w:lang w:val="en-GB" w:eastAsia="zh-CN"/>
        </w:rPr>
      </w:pPr>
    </w:p>
    <w:p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lang w:val="en-US" w:eastAsia="zh-CN"/>
        </w:rPr>
        <w:t>Conclusion</w:t>
      </w:r>
    </w:p>
    <w:p w:rsidR="003E361E" w:rsidRDefault="009C0ACA" w:rsidP="009B2891">
      <w:pPr>
        <w:pStyle w:val="BodyText"/>
        <w:tabs>
          <w:tab w:val="num" w:pos="226"/>
          <w:tab w:val="num" w:pos="284"/>
          <w:tab w:val="left" w:pos="5103"/>
        </w:tabs>
        <w:snapToGrid w:val="0"/>
        <w:rPr>
          <w:rFonts w:eastAsia="宋体"/>
          <w:bCs/>
          <w:sz w:val="21"/>
          <w:szCs w:val="21"/>
          <w:lang w:val="en-GB" w:eastAsia="zh-CN"/>
        </w:rPr>
      </w:pPr>
      <w:r w:rsidRPr="009C0ACA">
        <w:rPr>
          <w:rFonts w:eastAsia="宋体"/>
          <w:bCs/>
          <w:sz w:val="21"/>
          <w:szCs w:val="21"/>
          <w:lang w:val="en-GB" w:eastAsia="zh-CN"/>
        </w:rPr>
        <w:t xml:space="preserve">In this </w:t>
      </w:r>
      <w:r>
        <w:rPr>
          <w:rFonts w:eastAsia="宋体"/>
          <w:bCs/>
          <w:sz w:val="21"/>
          <w:szCs w:val="21"/>
          <w:lang w:val="en-GB" w:eastAsia="zh-CN"/>
        </w:rPr>
        <w:t>paper, we have the following proposal</w:t>
      </w:r>
      <w:r w:rsidR="00463007">
        <w:rPr>
          <w:rFonts w:eastAsia="宋体"/>
          <w:bCs/>
          <w:sz w:val="21"/>
          <w:szCs w:val="21"/>
          <w:lang w:val="en-GB" w:eastAsia="zh-CN"/>
        </w:rPr>
        <w:t>s</w:t>
      </w:r>
      <w:r>
        <w:rPr>
          <w:rFonts w:eastAsia="宋体"/>
          <w:bCs/>
          <w:sz w:val="21"/>
          <w:szCs w:val="21"/>
          <w:lang w:val="en-GB" w:eastAsia="zh-CN"/>
        </w:rPr>
        <w:t xml:space="preserve"> for </w:t>
      </w:r>
      <w:r w:rsidR="00463007">
        <w:rPr>
          <w:rFonts w:eastAsia="宋体"/>
          <w:bCs/>
          <w:sz w:val="21"/>
          <w:szCs w:val="21"/>
          <w:lang w:val="en-GB" w:eastAsia="zh-CN"/>
        </w:rPr>
        <w:t>NR HST BS demodulation performance requirements:</w:t>
      </w:r>
    </w:p>
    <w:p w:rsidR="00174EC0" w:rsidRDefault="00174EC0" w:rsidP="00174EC0">
      <w:pPr>
        <w:pStyle w:val="BodyText"/>
        <w:tabs>
          <w:tab w:val="num" w:pos="226"/>
          <w:tab w:val="num" w:pos="284"/>
          <w:tab w:val="left" w:pos="5103"/>
        </w:tabs>
        <w:snapToGrid w:val="0"/>
        <w:rPr>
          <w:rFonts w:eastAsia="宋体"/>
          <w:b/>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1</w:t>
      </w:r>
      <w:r w:rsidRPr="009C0ACA">
        <w:rPr>
          <w:rFonts w:eastAsia="宋体"/>
          <w:b/>
          <w:bCs/>
          <w:sz w:val="21"/>
          <w:szCs w:val="21"/>
          <w:lang w:val="en-GB" w:eastAsia="zh-CN"/>
        </w:rPr>
        <w:t>:</w:t>
      </w:r>
      <w:r>
        <w:rPr>
          <w:rFonts w:eastAsia="宋体"/>
          <w:b/>
          <w:bCs/>
          <w:sz w:val="21"/>
          <w:szCs w:val="21"/>
          <w:lang w:val="en-GB" w:eastAsia="zh-CN"/>
        </w:rPr>
        <w:t xml:space="preserve"> Only specify MCS #2 for 1T1R configuration (Option 1).</w:t>
      </w:r>
    </w:p>
    <w:p w:rsidR="00174EC0" w:rsidRDefault="00174EC0" w:rsidP="00174EC0">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2</w:t>
      </w:r>
      <w:r w:rsidRPr="009C0ACA">
        <w:rPr>
          <w:rFonts w:eastAsia="宋体"/>
          <w:b/>
          <w:bCs/>
          <w:sz w:val="21"/>
          <w:szCs w:val="21"/>
          <w:lang w:val="en-GB" w:eastAsia="zh-CN"/>
        </w:rPr>
        <w:t>:</w:t>
      </w:r>
      <w:r>
        <w:rPr>
          <w:rFonts w:eastAsia="宋体"/>
          <w:b/>
          <w:bCs/>
          <w:sz w:val="21"/>
          <w:szCs w:val="21"/>
          <w:lang w:val="en-GB" w:eastAsia="zh-CN"/>
        </w:rPr>
        <w:t xml:space="preserve"> </w:t>
      </w:r>
      <w:r w:rsidRPr="00A87885">
        <w:rPr>
          <w:rFonts w:eastAsia="宋体"/>
          <w:b/>
          <w:bCs/>
          <w:sz w:val="21"/>
          <w:szCs w:val="21"/>
          <w:lang w:val="en-GB" w:eastAsia="zh-CN"/>
        </w:rPr>
        <w:t>Do not specify requirements for multi-path fading channel models with high Doppler values</w:t>
      </w:r>
      <w:r>
        <w:rPr>
          <w:rFonts w:eastAsia="宋体"/>
          <w:b/>
          <w:bCs/>
          <w:sz w:val="21"/>
          <w:szCs w:val="21"/>
          <w:lang w:val="en-GB" w:eastAsia="zh-CN"/>
        </w:rPr>
        <w:t xml:space="preserve"> in Rel-16 by considering the potential required study and the current ending stage (Option 1).</w:t>
      </w:r>
    </w:p>
    <w:p w:rsidR="00174EC0" w:rsidRDefault="00174EC0" w:rsidP="00174EC0">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3</w:t>
      </w:r>
      <w:r w:rsidRPr="009C0ACA">
        <w:rPr>
          <w:rFonts w:eastAsia="宋体"/>
          <w:b/>
          <w:bCs/>
          <w:sz w:val="21"/>
          <w:szCs w:val="21"/>
          <w:lang w:val="en-GB" w:eastAsia="zh-CN"/>
        </w:rPr>
        <w:t>:</w:t>
      </w:r>
      <w:r>
        <w:rPr>
          <w:rFonts w:eastAsia="宋体"/>
          <w:b/>
          <w:bCs/>
          <w:sz w:val="21"/>
          <w:szCs w:val="21"/>
          <w:lang w:val="en-GB" w:eastAsia="zh-CN"/>
        </w:rPr>
        <w:t xml:space="preserve"> Do not introduce TDLC300-100 fading channel with frequency offset of 400Hz requirements for long preamble formats for HST requirements (Option 2).</w:t>
      </w:r>
    </w:p>
    <w:p w:rsidR="00174EC0" w:rsidRDefault="00174EC0" w:rsidP="00174EC0">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4</w:t>
      </w:r>
      <w:r w:rsidRPr="009C0ACA">
        <w:rPr>
          <w:rFonts w:eastAsia="宋体"/>
          <w:b/>
          <w:bCs/>
          <w:sz w:val="21"/>
          <w:szCs w:val="21"/>
          <w:lang w:val="en-GB" w:eastAsia="zh-CN"/>
        </w:rPr>
        <w:t>:</w:t>
      </w:r>
      <w:r>
        <w:rPr>
          <w:rFonts w:eastAsia="宋体"/>
          <w:b/>
          <w:bCs/>
          <w:sz w:val="21"/>
          <w:szCs w:val="21"/>
          <w:lang w:val="en-GB" w:eastAsia="zh-CN"/>
        </w:rPr>
        <w:t xml:space="preserve"> HST PRACH support should be covered by the same declaration entry for HST PUSCH and UL TA, and one declaration </w:t>
      </w:r>
      <w:proofErr w:type="spellStart"/>
      <w:r>
        <w:rPr>
          <w:rFonts w:eastAsia="宋体"/>
          <w:b/>
          <w:bCs/>
          <w:sz w:val="21"/>
          <w:szCs w:val="21"/>
          <w:lang w:val="en-GB" w:eastAsia="zh-CN"/>
        </w:rPr>
        <w:t>enty</w:t>
      </w:r>
      <w:proofErr w:type="spellEnd"/>
      <w:r>
        <w:rPr>
          <w:rFonts w:eastAsia="宋体"/>
          <w:b/>
          <w:bCs/>
          <w:sz w:val="21"/>
          <w:szCs w:val="21"/>
          <w:lang w:val="en-GB" w:eastAsia="zh-CN"/>
        </w:rPr>
        <w:t xml:space="preserve"> for short and long preamble format is enough (Option 1c).</w:t>
      </w:r>
    </w:p>
    <w:p w:rsidR="00174EC0" w:rsidRDefault="00174EC0" w:rsidP="00174EC0">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t>Proposal</w:t>
      </w:r>
      <w:r>
        <w:rPr>
          <w:rFonts w:eastAsia="宋体"/>
          <w:b/>
          <w:bCs/>
          <w:sz w:val="21"/>
          <w:szCs w:val="21"/>
          <w:lang w:val="en-GB" w:eastAsia="zh-CN"/>
        </w:rPr>
        <w:t xml:space="preserve"> 5</w:t>
      </w:r>
      <w:r w:rsidRPr="009C0ACA">
        <w:rPr>
          <w:rFonts w:eastAsia="宋体"/>
          <w:b/>
          <w:bCs/>
          <w:sz w:val="21"/>
          <w:szCs w:val="21"/>
          <w:lang w:val="en-GB" w:eastAsia="zh-CN"/>
        </w:rPr>
        <w:t>:</w:t>
      </w:r>
      <w:r>
        <w:rPr>
          <w:rFonts w:eastAsia="宋体"/>
          <w:b/>
          <w:bCs/>
          <w:sz w:val="21"/>
          <w:szCs w:val="21"/>
          <w:lang w:val="en-GB" w:eastAsia="zh-CN"/>
        </w:rPr>
        <w:t xml:space="preserve"> Postpone requirements for scenario X to Rel-17 (Option 2).</w:t>
      </w:r>
    </w:p>
    <w:p w:rsidR="00174EC0" w:rsidRDefault="00174EC0" w:rsidP="00174EC0">
      <w:pPr>
        <w:pStyle w:val="BodyText"/>
        <w:tabs>
          <w:tab w:val="num" w:pos="226"/>
          <w:tab w:val="num" w:pos="284"/>
          <w:tab w:val="left" w:pos="5103"/>
        </w:tabs>
        <w:snapToGrid w:val="0"/>
        <w:rPr>
          <w:rFonts w:eastAsia="宋体"/>
          <w:bCs/>
          <w:sz w:val="21"/>
          <w:szCs w:val="21"/>
          <w:lang w:val="en-GB" w:eastAsia="zh-CN"/>
        </w:rPr>
      </w:pPr>
      <w:r w:rsidRPr="009C0ACA">
        <w:rPr>
          <w:rFonts w:eastAsia="宋体"/>
          <w:b/>
          <w:bCs/>
          <w:sz w:val="21"/>
          <w:szCs w:val="21"/>
          <w:lang w:val="en-GB" w:eastAsia="zh-CN"/>
        </w:rPr>
        <w:lastRenderedPageBreak/>
        <w:t>Proposal</w:t>
      </w:r>
      <w:r>
        <w:rPr>
          <w:rFonts w:eastAsia="宋体"/>
          <w:b/>
          <w:bCs/>
          <w:sz w:val="21"/>
          <w:szCs w:val="21"/>
          <w:lang w:val="en-GB" w:eastAsia="zh-CN"/>
        </w:rPr>
        <w:t xml:space="preserve"> 6</w:t>
      </w:r>
      <w:r w:rsidRPr="009C0ACA">
        <w:rPr>
          <w:rFonts w:eastAsia="宋体"/>
          <w:b/>
          <w:bCs/>
          <w:sz w:val="21"/>
          <w:szCs w:val="21"/>
          <w:lang w:val="en-GB" w:eastAsia="zh-CN"/>
        </w:rPr>
        <w:t>:</w:t>
      </w:r>
      <w:r>
        <w:rPr>
          <w:rFonts w:eastAsia="宋体"/>
          <w:b/>
          <w:bCs/>
          <w:sz w:val="21"/>
          <w:szCs w:val="21"/>
          <w:lang w:val="en-GB" w:eastAsia="zh-CN"/>
        </w:rPr>
        <w:t xml:space="preserve"> To </w:t>
      </w:r>
      <w:proofErr w:type="gramStart"/>
      <w:r>
        <w:rPr>
          <w:rFonts w:eastAsia="宋体"/>
          <w:b/>
          <w:bCs/>
          <w:sz w:val="21"/>
          <w:szCs w:val="21"/>
          <w:lang w:val="en-GB" w:eastAsia="zh-CN"/>
        </w:rPr>
        <w:t>Extend</w:t>
      </w:r>
      <w:proofErr w:type="gramEnd"/>
      <w:r>
        <w:rPr>
          <w:rFonts w:eastAsia="宋体"/>
          <w:b/>
          <w:bCs/>
          <w:sz w:val="21"/>
          <w:szCs w:val="21"/>
          <w:lang w:val="en-GB" w:eastAsia="zh-CN"/>
        </w:rPr>
        <w:t xml:space="preserve"> the current tables in UL TA section to 500km/h by inserting new rows for 500km/h is a good choice with conciseness and readability (Option 3).</w:t>
      </w:r>
    </w:p>
    <w:p w:rsidR="00463007" w:rsidRDefault="00463007" w:rsidP="009B2891">
      <w:pPr>
        <w:pStyle w:val="BodyText"/>
        <w:tabs>
          <w:tab w:val="num" w:pos="226"/>
          <w:tab w:val="num" w:pos="284"/>
          <w:tab w:val="left" w:pos="5103"/>
        </w:tabs>
        <w:snapToGrid w:val="0"/>
        <w:rPr>
          <w:rFonts w:eastAsia="宋体"/>
          <w:b/>
          <w:bCs/>
          <w:sz w:val="21"/>
          <w:szCs w:val="21"/>
          <w:lang w:val="en-GB" w:eastAsia="zh-CN"/>
        </w:rPr>
      </w:pPr>
    </w:p>
    <w:p w:rsidR="009C0ACA" w:rsidRPr="009C0ACA" w:rsidRDefault="009C0ACA" w:rsidP="00CA4C30">
      <w:pPr>
        <w:pStyle w:val="BodyText"/>
        <w:tabs>
          <w:tab w:val="num" w:pos="226"/>
          <w:tab w:val="num" w:pos="284"/>
          <w:tab w:val="left" w:pos="5103"/>
        </w:tabs>
        <w:snapToGrid w:val="0"/>
        <w:rPr>
          <w:rFonts w:eastAsia="宋体"/>
          <w:bCs/>
          <w:sz w:val="21"/>
          <w:szCs w:val="21"/>
          <w:lang w:val="en-GB" w:eastAsia="zh-CN"/>
        </w:rPr>
      </w:pP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A208FC" w:rsidRPr="00183F7C" w:rsidRDefault="00D0160F" w:rsidP="00D11E5A">
      <w:pPr>
        <w:pStyle w:val="List2"/>
      </w:pPr>
      <w:r w:rsidRPr="00D0160F">
        <w:t>R</w:t>
      </w:r>
      <w:r w:rsidR="00D11E5A">
        <w:t xml:space="preserve">4-2008821 </w:t>
      </w:r>
      <w:r w:rsidR="00D11E5A" w:rsidRPr="00D11E5A">
        <w:rPr>
          <w:lang w:val="en-US"/>
        </w:rPr>
        <w:t>WF on Rel-16 NR HST BS demodulation requirements</w:t>
      </w:r>
      <w:r w:rsidR="00D11E5A">
        <w:rPr>
          <w:lang w:val="en-US"/>
        </w:rPr>
        <w:t>, Nokia</w:t>
      </w:r>
    </w:p>
    <w:sectPr w:rsidR="00A208F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919" w:rsidRDefault="004F6919" w:rsidP="00E7784C">
      <w:r>
        <w:separator/>
      </w:r>
    </w:p>
  </w:endnote>
  <w:endnote w:type="continuationSeparator" w:id="0">
    <w:p w:rsidR="004F6919" w:rsidRDefault="004F691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88094D" w:rsidRPr="0088094D">
      <w:rPr>
        <w:noProof/>
        <w:lang w:val="zh-CN" w:eastAsia="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919" w:rsidRDefault="004F6919" w:rsidP="00E7784C">
      <w:r>
        <w:separator/>
      </w:r>
    </w:p>
  </w:footnote>
  <w:footnote w:type="continuationSeparator" w:id="0">
    <w:p w:rsidR="004F6919" w:rsidRDefault="004F6919"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C478F0"/>
    <w:multiLevelType w:val="hybridMultilevel"/>
    <w:tmpl w:val="C9846D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7"/>
  </w:num>
  <w:num w:numId="9">
    <w:abstractNumId w:val="5"/>
  </w:num>
  <w:num w:numId="10">
    <w:abstractNumId w:val="14"/>
  </w:num>
  <w:num w:numId="11">
    <w:abstractNumId w:val="1"/>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4"/>
  </w:num>
  <w:num w:numId="19">
    <w:abstractNumId w:val="8"/>
  </w:num>
  <w:num w:numId="20">
    <w:abstractNumId w:val="2"/>
  </w:num>
  <w:num w:numId="21">
    <w:abstractNumId w:val="9"/>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0EB"/>
    <w:rsid w:val="00036A3E"/>
    <w:rsid w:val="00037054"/>
    <w:rsid w:val="00040283"/>
    <w:rsid w:val="0004084A"/>
    <w:rsid w:val="00042D3B"/>
    <w:rsid w:val="00042D92"/>
    <w:rsid w:val="000436DB"/>
    <w:rsid w:val="000438BE"/>
    <w:rsid w:val="00044AC1"/>
    <w:rsid w:val="0004585C"/>
    <w:rsid w:val="0004655B"/>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A5CDA"/>
    <w:rsid w:val="000B0C67"/>
    <w:rsid w:val="000B11A8"/>
    <w:rsid w:val="000B1C0B"/>
    <w:rsid w:val="000B3BCC"/>
    <w:rsid w:val="000B4EA8"/>
    <w:rsid w:val="000B4F5B"/>
    <w:rsid w:val="000B695A"/>
    <w:rsid w:val="000B6B78"/>
    <w:rsid w:val="000B7043"/>
    <w:rsid w:val="000B743D"/>
    <w:rsid w:val="000B7E43"/>
    <w:rsid w:val="000C002F"/>
    <w:rsid w:val="000C3C53"/>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67AA6"/>
    <w:rsid w:val="00170C58"/>
    <w:rsid w:val="0017147B"/>
    <w:rsid w:val="00171487"/>
    <w:rsid w:val="00172360"/>
    <w:rsid w:val="00172914"/>
    <w:rsid w:val="00173DEB"/>
    <w:rsid w:val="001743A3"/>
    <w:rsid w:val="00174EC0"/>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1F771B"/>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6E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26F1"/>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320"/>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522B"/>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007"/>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285"/>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6919"/>
    <w:rsid w:val="0050028C"/>
    <w:rsid w:val="00501809"/>
    <w:rsid w:val="005020EF"/>
    <w:rsid w:val="00503AED"/>
    <w:rsid w:val="005045C9"/>
    <w:rsid w:val="00504876"/>
    <w:rsid w:val="00505437"/>
    <w:rsid w:val="005059E3"/>
    <w:rsid w:val="00510127"/>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4C9F"/>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657"/>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0EF7"/>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7"/>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404B"/>
    <w:rsid w:val="008456C6"/>
    <w:rsid w:val="008458EE"/>
    <w:rsid w:val="0084592D"/>
    <w:rsid w:val="00845F70"/>
    <w:rsid w:val="00846B5F"/>
    <w:rsid w:val="008474BE"/>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94D"/>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329"/>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27D"/>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A81"/>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2934"/>
    <w:rsid w:val="009B4649"/>
    <w:rsid w:val="009B56A3"/>
    <w:rsid w:val="009B5705"/>
    <w:rsid w:val="009B5982"/>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163"/>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0F06"/>
    <w:rsid w:val="00A7125F"/>
    <w:rsid w:val="00A7173B"/>
    <w:rsid w:val="00A72FE5"/>
    <w:rsid w:val="00A738DD"/>
    <w:rsid w:val="00A745B0"/>
    <w:rsid w:val="00A74CAA"/>
    <w:rsid w:val="00A75503"/>
    <w:rsid w:val="00A75AA7"/>
    <w:rsid w:val="00A76AF2"/>
    <w:rsid w:val="00A77396"/>
    <w:rsid w:val="00A77910"/>
    <w:rsid w:val="00A80502"/>
    <w:rsid w:val="00A8089E"/>
    <w:rsid w:val="00A83056"/>
    <w:rsid w:val="00A8321F"/>
    <w:rsid w:val="00A836C5"/>
    <w:rsid w:val="00A8788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9B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E5A"/>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30C"/>
    <w:rsid w:val="00E26867"/>
    <w:rsid w:val="00E26C1D"/>
    <w:rsid w:val="00E26C80"/>
    <w:rsid w:val="00E2726C"/>
    <w:rsid w:val="00E2767E"/>
    <w:rsid w:val="00E31412"/>
    <w:rsid w:val="00E31E69"/>
    <w:rsid w:val="00E31E79"/>
    <w:rsid w:val="00E3233D"/>
    <w:rsid w:val="00E323F6"/>
    <w:rsid w:val="00E32E25"/>
    <w:rsid w:val="00E336B8"/>
    <w:rsid w:val="00E35D35"/>
    <w:rsid w:val="00E366A6"/>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1FD"/>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09572226">
      <w:bodyDiv w:val="1"/>
      <w:marLeft w:val="0"/>
      <w:marRight w:val="0"/>
      <w:marTop w:val="0"/>
      <w:marBottom w:val="0"/>
      <w:divBdr>
        <w:top w:val="none" w:sz="0" w:space="0" w:color="auto"/>
        <w:left w:val="none" w:sz="0" w:space="0" w:color="auto"/>
        <w:bottom w:val="none" w:sz="0" w:space="0" w:color="auto"/>
        <w:right w:val="none" w:sz="0" w:space="0" w:color="auto"/>
      </w:divBdr>
      <w:divsChild>
        <w:div w:id="511258263">
          <w:marLeft w:val="547"/>
          <w:marRight w:val="0"/>
          <w:marTop w:val="72"/>
          <w:marBottom w:val="0"/>
          <w:divBdr>
            <w:top w:val="none" w:sz="0" w:space="0" w:color="auto"/>
            <w:left w:val="none" w:sz="0" w:space="0" w:color="auto"/>
            <w:bottom w:val="none" w:sz="0" w:space="0" w:color="auto"/>
            <w:right w:val="none" w:sz="0" w:space="0" w:color="auto"/>
          </w:divBdr>
        </w:div>
        <w:div w:id="358631224">
          <w:marLeft w:val="1166"/>
          <w:marRight w:val="0"/>
          <w:marTop w:val="62"/>
          <w:marBottom w:val="0"/>
          <w:divBdr>
            <w:top w:val="none" w:sz="0" w:space="0" w:color="auto"/>
            <w:left w:val="none" w:sz="0" w:space="0" w:color="auto"/>
            <w:bottom w:val="none" w:sz="0" w:space="0" w:color="auto"/>
            <w:right w:val="none" w:sz="0" w:space="0" w:color="auto"/>
          </w:divBdr>
        </w:div>
        <w:div w:id="495076662">
          <w:marLeft w:val="1166"/>
          <w:marRight w:val="0"/>
          <w:marTop w:val="62"/>
          <w:marBottom w:val="0"/>
          <w:divBdr>
            <w:top w:val="none" w:sz="0" w:space="0" w:color="auto"/>
            <w:left w:val="none" w:sz="0" w:space="0" w:color="auto"/>
            <w:bottom w:val="none" w:sz="0" w:space="0" w:color="auto"/>
            <w:right w:val="none" w:sz="0" w:space="0" w:color="auto"/>
          </w:divBdr>
        </w:div>
        <w:div w:id="994917723">
          <w:marLeft w:val="1166"/>
          <w:marRight w:val="0"/>
          <w:marTop w:val="62"/>
          <w:marBottom w:val="0"/>
          <w:divBdr>
            <w:top w:val="none" w:sz="0" w:space="0" w:color="auto"/>
            <w:left w:val="none" w:sz="0" w:space="0" w:color="auto"/>
            <w:bottom w:val="none" w:sz="0" w:space="0" w:color="auto"/>
            <w:right w:val="none" w:sz="0" w:space="0" w:color="auto"/>
          </w:divBdr>
        </w:div>
        <w:div w:id="1749961057">
          <w:marLeft w:val="1166"/>
          <w:marRight w:val="0"/>
          <w:marTop w:val="62"/>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9123773">
      <w:bodyDiv w:val="1"/>
      <w:marLeft w:val="0"/>
      <w:marRight w:val="0"/>
      <w:marTop w:val="0"/>
      <w:marBottom w:val="0"/>
      <w:divBdr>
        <w:top w:val="none" w:sz="0" w:space="0" w:color="auto"/>
        <w:left w:val="none" w:sz="0" w:space="0" w:color="auto"/>
        <w:bottom w:val="none" w:sz="0" w:space="0" w:color="auto"/>
        <w:right w:val="none" w:sz="0" w:space="0" w:color="auto"/>
      </w:divBdr>
      <w:divsChild>
        <w:div w:id="602346221">
          <w:marLeft w:val="547"/>
          <w:marRight w:val="0"/>
          <w:marTop w:val="144"/>
          <w:marBottom w:val="0"/>
          <w:divBdr>
            <w:top w:val="none" w:sz="0" w:space="0" w:color="auto"/>
            <w:left w:val="none" w:sz="0" w:space="0" w:color="auto"/>
            <w:bottom w:val="none" w:sz="0" w:space="0" w:color="auto"/>
            <w:right w:val="none" w:sz="0" w:space="0" w:color="auto"/>
          </w:divBdr>
        </w:div>
        <w:div w:id="409281201">
          <w:marLeft w:val="1166"/>
          <w:marRight w:val="0"/>
          <w:marTop w:val="125"/>
          <w:marBottom w:val="0"/>
          <w:divBdr>
            <w:top w:val="none" w:sz="0" w:space="0" w:color="auto"/>
            <w:left w:val="none" w:sz="0" w:space="0" w:color="auto"/>
            <w:bottom w:val="none" w:sz="0" w:space="0" w:color="auto"/>
            <w:right w:val="none" w:sz="0" w:space="0" w:color="auto"/>
          </w:divBdr>
        </w:div>
        <w:div w:id="1400784542">
          <w:marLeft w:val="1166"/>
          <w:marRight w:val="0"/>
          <w:marTop w:val="125"/>
          <w:marBottom w:val="0"/>
          <w:divBdr>
            <w:top w:val="none" w:sz="0" w:space="0" w:color="auto"/>
            <w:left w:val="none" w:sz="0" w:space="0" w:color="auto"/>
            <w:bottom w:val="none" w:sz="0" w:space="0" w:color="auto"/>
            <w:right w:val="none" w:sz="0" w:space="0" w:color="auto"/>
          </w:divBdr>
        </w:div>
        <w:div w:id="1380204884">
          <w:marLeft w:val="1166"/>
          <w:marRight w:val="0"/>
          <w:marTop w:val="125"/>
          <w:marBottom w:val="0"/>
          <w:divBdr>
            <w:top w:val="none" w:sz="0" w:space="0" w:color="auto"/>
            <w:left w:val="none" w:sz="0" w:space="0" w:color="auto"/>
            <w:bottom w:val="none" w:sz="0" w:space="0" w:color="auto"/>
            <w:right w:val="none" w:sz="0" w:space="0" w:color="auto"/>
          </w:divBdr>
        </w:div>
      </w:divsChild>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56526C-511C-4CB5-84CD-B485E0D2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32</cp:revision>
  <cp:lastPrinted>2015-02-02T11:17:00Z</cp:lastPrinted>
  <dcterms:created xsi:type="dcterms:W3CDTF">2020-08-06T21:57:00Z</dcterms:created>
  <dcterms:modified xsi:type="dcterms:W3CDTF">2020-08-07T13:04:00Z</dcterms:modified>
</cp:coreProperties>
</file>